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rPr>
      </w:pPr>
      <w:r>
        <w:rPr>
          <w:rFonts w:hint="eastAsia" w:ascii="黑体" w:hAnsi="黑体" w:eastAsia="黑体" w:cs="宋体"/>
          <w:color w:val="333333"/>
          <w:sz w:val="32"/>
          <w:szCs w:val="32"/>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伊犁州特克斯县文化体育广播电视和旅游局部门单位整体支出绩效自评报告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rPr>
          <w:rFonts w:hAnsi="宋体" w:eastAsia="仿宋_GB2312" w:cs="宋体"/>
          <w:kern w:val="0"/>
          <w:sz w:val="36"/>
          <w:szCs w:val="36"/>
        </w:rPr>
      </w:pPr>
      <w:r>
        <w:rPr>
          <w:rFonts w:hint="eastAsia" w:hAnsi="宋体" w:eastAsia="仿宋_GB2312" w:cs="宋体"/>
          <w:kern w:val="0"/>
          <w:sz w:val="36"/>
          <w:szCs w:val="36"/>
        </w:rPr>
        <w:t>部门单位名称（公章）：特克斯县文化体育广播电视和旅游局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年4月28日</w:t>
      </w:r>
    </w:p>
    <w:p>
      <w:pPr>
        <w:pStyle w:val="2"/>
        <w:rPr>
          <w:rFonts w:hAnsi="宋体" w:eastAsia="仿宋_GB2312" w:cs="宋体"/>
          <w:kern w:val="0"/>
          <w:sz w:val="36"/>
          <w:szCs w:val="36"/>
        </w:rPr>
      </w:pPr>
    </w:p>
    <w:p/>
    <w:p>
      <w:pPr>
        <w:jc w:val="center"/>
      </w:pPr>
    </w:p>
    <w:p>
      <w:pPr>
        <w:pStyle w:val="4"/>
        <w:spacing w:line="360" w:lineRule="auto"/>
        <w:rPr>
          <w:rFonts w:ascii="仿宋" w:hAnsi="仿宋" w:eastAsia="仿宋"/>
          <w:sz w:val="36"/>
          <w:szCs w:val="36"/>
        </w:rPr>
      </w:pPr>
      <w:bookmarkStart w:id="1" w:name="_Toc19881"/>
      <w:bookmarkStart w:id="2" w:name="_Toc70450289"/>
      <w:r>
        <w:rPr>
          <w:rFonts w:hint="eastAsia" w:ascii="仿宋" w:hAnsi="仿宋" w:eastAsia="仿宋"/>
          <w:sz w:val="36"/>
          <w:szCs w:val="36"/>
        </w:rPr>
        <w:t>一、基本概况</w:t>
      </w:r>
      <w:bookmarkEnd w:id="1"/>
      <w:bookmarkEnd w:id="2"/>
    </w:p>
    <w:p>
      <w:pPr>
        <w:pStyle w:val="2"/>
        <w:spacing w:line="360" w:lineRule="auto"/>
        <w:rPr>
          <w:rStyle w:val="17"/>
          <w:rFonts w:ascii="仿宋" w:hAnsi="仿宋" w:eastAsia="仿宋"/>
          <w:b/>
          <w:bCs/>
        </w:rPr>
      </w:pPr>
      <w:bookmarkStart w:id="3" w:name="_Toc26126"/>
      <w:bookmarkStart w:id="4" w:name="_Toc70450290"/>
      <w:r>
        <w:rPr>
          <w:rStyle w:val="17"/>
          <w:rFonts w:hint="eastAsia" w:ascii="仿宋" w:hAnsi="仿宋" w:eastAsia="仿宋"/>
          <w:b/>
          <w:bCs/>
        </w:rPr>
        <w:t>（一）部门单位基本情况</w:t>
      </w:r>
      <w:bookmarkEnd w:id="3"/>
      <w:bookmarkEnd w:id="4"/>
    </w:p>
    <w:p>
      <w:pPr>
        <w:pStyle w:val="5"/>
        <w:spacing w:line="360" w:lineRule="auto"/>
        <w:ind w:firstLine="562" w:firstLineChars="200"/>
        <w:rPr>
          <w:rStyle w:val="17"/>
          <w:rFonts w:ascii="仿宋" w:hAnsi="仿宋" w:eastAsia="仿宋"/>
          <w:b/>
          <w:bCs/>
        </w:rPr>
      </w:pPr>
      <w:bookmarkStart w:id="5" w:name="_Toc70450291"/>
      <w:r>
        <w:rPr>
          <w:rStyle w:val="17"/>
          <w:rFonts w:ascii="仿宋" w:hAnsi="仿宋" w:eastAsia="仿宋"/>
          <w:b/>
          <w:bCs/>
        </w:rPr>
        <w:t>1</w:t>
      </w:r>
      <w:r>
        <w:rPr>
          <w:rStyle w:val="17"/>
          <w:rFonts w:hint="eastAsia" w:ascii="仿宋" w:hAnsi="仿宋" w:eastAsia="仿宋"/>
          <w:b/>
          <w:bCs/>
        </w:rPr>
        <w:t>、主要职能</w:t>
      </w:r>
      <w:bookmarkEnd w:id="5"/>
    </w:p>
    <w:p>
      <w:pPr>
        <w:spacing w:line="360" w:lineRule="auto"/>
        <w:ind w:firstLine="506" w:firstLineChars="181"/>
        <w:rPr>
          <w:rFonts w:ascii="仿宋_GB2312" w:eastAsia="仿宋_GB2312"/>
          <w:sz w:val="28"/>
          <w:szCs w:val="36"/>
        </w:rPr>
      </w:pPr>
      <w:r>
        <w:rPr>
          <w:rFonts w:hint="eastAsia" w:ascii="仿宋_GB2312" w:eastAsia="仿宋_GB2312"/>
          <w:sz w:val="28"/>
          <w:szCs w:val="36"/>
        </w:rPr>
        <w:t>（一）发展中国特色社会主义文化、推动全民健身运动发展、实施全域旅游战略，牢牢掌握意识形态工作的领导权和主动权。研究拟订全县文化体育广播电视和旅游政策措施并组织实施。</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（二）统筹规划全县文化体育广播电视和旅游事业、产业振兴发展，研究制定发展规划并组织实施，推进文化体育广播电视和旅游融合发展，指导和落实文化体育广播电视和旅游体制机制改革。</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三）负责全县公共服务事业发展，推动现代公共文化服务体系建设、体育公共服务建设、广播电视公共服务建设和旅游公共服务建设，指导“四馆一中心”和村、社区、连队综合性文化服务中心建设工作，深入实施惠民工程，统筹推进公共服务标准化、均等化。</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（四）制定全县文化体育广播电视和旅游人才队伍建设规划并组织实施，负责人才队伍建设、继续教育培训、资金资产管理工作。</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五）指导、管理全县文化体育广播电视和旅游活动，组织文化体育广播电视和旅游整体形象推广，构建新媒体新时代的宣传营销平台和机制，促进文化体育广播电视和旅游产业对外合作和市场推广，制定开发战略并组织实施，统筹景区管理，指导、推进全域旅游发展。</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（六）指导、管理全县文艺创作与生产及研究、保护、挖掘和弘扬，扶持坚守中华文化立场、体现社会主义核心价值观、具有导向性代表性示范性的文艺作品，推动各门类艺术、各艺术品种发展。</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 xml:space="preserve">（七）统筹规划全县全民健身运动发展，推行全民健身计划，推动国民体质监测，组织、指导和推进群众体育、竞技体育、少数民族体育、青少年体育事业和产业的发展，指导运动员、社会体育指导员、裁判员队伍建设和体育赛事承办，监督体育运动中的反兴奋剂工作，组织开展体育对外交流与合作，负责体育彩票发行管理工作。 </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（八）指导全县文化体育广播电视和旅游科技创新发展，推进行业信息化、标准化建设。</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（九）负责全县非物质文化遗产的保护和研究，推动非物质文化遗产的保护、传承、普及、宣传、弘扬、振兴和监督工作。</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十）统筹规划全县文化体育广播电视和旅游产业，组织实施资源普查、挖掘、保护与利用工作，促进产业发展，结合乡村振兴战略，推动文化体育广播电视和旅游扶贫攻坚工作，指导全县打造“世界喀拉峻·中国八卦城”品牌和旅游业成为特克斯县战略性支柱产业，构建重要旅游目的地。</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十一）指导全县文化体育广播电视和旅游市场行政许可和综合执法和行业监督，组织查处全县性、跨区域文化、体育、广播电视、文物、出版、电影、旅游等市场的违法行为，督查督办违法案件，推动行业信用体系建设，依法规范市场，维护市场秩序。</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（十二）负责全县文化体育广播电视和旅游安全的综合协调与监督管理，指导应急救援工作。</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（十三）统筹指导全县文物工作，负责文物保护、抢救维修、考古发掘、科技研究、文物鉴定、文物进出境以及宣传教育工作，依法规范社会文物流通、经销和拍卖活动。</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十五）指导、监督全县广播电视基础设施建设和无线数字覆盖，监督、管理各类广播电视机构和网络视听节目服务机构，负责广播电视与新媒体新技术新业态融合发展，推进广电网与电信网、互联网三网融合，推动广播电视节目精品创作生产，对信息网络视听节目（包括影视类音像制品的网上播放）服务和公共视听载体播放节目的业务监管，对广播电视节目传输覆盖、检测、审查和安全播出进行监管，推进应急广播体系建设和境外卫星广播电视节目接收的监管。</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（十六）完成县委、县人民政府交办的其他任务。</w:t>
      </w:r>
    </w:p>
    <w:p>
      <w:pPr>
        <w:spacing w:line="360" w:lineRule="auto"/>
        <w:rPr>
          <w:rStyle w:val="17"/>
          <w:rFonts w:asciiTheme="minorEastAsia" w:hAnsiTheme="minorEastAsia"/>
          <w:bCs w:val="0"/>
          <w:color w:val="FF0000"/>
          <w:spacing w:val="-4"/>
          <w:sz w:val="28"/>
          <w:szCs w:val="28"/>
        </w:rPr>
      </w:pPr>
    </w:p>
    <w:p>
      <w:pPr>
        <w:pStyle w:val="5"/>
        <w:spacing w:line="360" w:lineRule="auto"/>
        <w:ind w:firstLine="562" w:firstLineChars="200"/>
        <w:rPr>
          <w:rStyle w:val="17"/>
          <w:rFonts w:ascii="仿宋" w:hAnsi="仿宋" w:eastAsia="仿宋"/>
          <w:b/>
          <w:bCs/>
        </w:rPr>
      </w:pPr>
      <w:bookmarkStart w:id="6" w:name="_Toc70450292"/>
      <w:r>
        <w:rPr>
          <w:rStyle w:val="17"/>
          <w:rFonts w:hint="eastAsia" w:ascii="仿宋" w:hAnsi="仿宋" w:eastAsia="仿宋"/>
          <w:b/>
          <w:bCs/>
        </w:rPr>
        <w:t>2、机构人员构成</w:t>
      </w:r>
      <w:bookmarkEnd w:id="6"/>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（1）组织机构设置：</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特克斯县文化体育广播电视和旅游局无下属预算单位，下设11个科室，分别是：办公室、产业促进科、公共服务科、特克斯县文化馆、特克斯县图书馆、特克斯县美术馆、特克斯县文博院、特克斯县歌舞团、特克斯县体育办、特克斯县文化市场综合执法队、特克斯县民宿服务中心。</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（2）2021年特克斯县文化体育广播电视和旅游局实有在职人员</w:t>
      </w:r>
      <w:r>
        <w:rPr>
          <w:rFonts w:hint="eastAsia" w:ascii="仿宋_GB2312" w:eastAsia="仿宋_GB2312"/>
          <w:sz w:val="28"/>
          <w:szCs w:val="36"/>
          <w:highlight w:val="none"/>
        </w:rPr>
        <w:t>为65人，其中</w:t>
      </w:r>
      <w:r>
        <w:rPr>
          <w:rFonts w:hint="eastAsia" w:ascii="仿宋_GB2312" w:eastAsia="仿宋_GB2312"/>
          <w:sz w:val="28"/>
          <w:szCs w:val="36"/>
        </w:rPr>
        <w:t>：</w:t>
      </w:r>
    </w:p>
    <w:p>
      <w:pPr>
        <w:spacing w:line="360" w:lineRule="auto"/>
        <w:ind w:firstLine="506" w:firstLineChars="181"/>
        <w:rPr>
          <w:rFonts w:ascii="仿宋_GB2312" w:eastAsia="仿宋_GB2312"/>
          <w:sz w:val="28"/>
          <w:szCs w:val="36"/>
        </w:rPr>
      </w:pPr>
      <w:r>
        <w:rPr>
          <w:rFonts w:hint="eastAsia" w:ascii="仿宋_GB2312" w:eastAsia="仿宋_GB2312"/>
          <w:sz w:val="28"/>
          <w:szCs w:val="36"/>
        </w:rPr>
        <w:t>行政在职18人（上年21人），同比上年减少3人；</w:t>
      </w:r>
    </w:p>
    <w:p>
      <w:pPr>
        <w:pStyle w:val="2"/>
        <w:rPr>
          <w:rFonts w:ascii="仿宋_GB2312" w:eastAsia="仿宋_GB2312"/>
          <w:b w:val="0"/>
          <w:bCs w:val="0"/>
          <w:sz w:val="28"/>
          <w:szCs w:val="36"/>
        </w:rPr>
      </w:pPr>
      <w:r>
        <w:rPr>
          <w:rFonts w:hint="eastAsia" w:ascii="仿宋_GB2312" w:eastAsia="仿宋_GB2312"/>
          <w:b w:val="0"/>
          <w:bCs w:val="0"/>
          <w:sz w:val="28"/>
          <w:szCs w:val="36"/>
        </w:rPr>
        <w:t xml:space="preserve">   </w:t>
      </w:r>
      <w:r>
        <w:rPr>
          <w:rFonts w:hint="eastAsia" w:ascii="仿宋_GB2312" w:eastAsia="仿宋_GB2312"/>
          <w:b w:val="0"/>
          <w:bCs w:val="0"/>
          <w:sz w:val="28"/>
          <w:szCs w:val="36"/>
          <w:lang w:val="en-US" w:eastAsia="zh-CN"/>
        </w:rPr>
        <w:t xml:space="preserve"> </w:t>
      </w:r>
      <w:r>
        <w:rPr>
          <w:rFonts w:hint="eastAsia" w:ascii="仿宋_GB2312" w:eastAsia="仿宋_GB2312"/>
          <w:b w:val="0"/>
          <w:bCs w:val="0"/>
          <w:sz w:val="28"/>
          <w:szCs w:val="36"/>
        </w:rPr>
        <w:t>事业在职47人（上年42人），同比上年增加5人；</w:t>
      </w:r>
    </w:p>
    <w:p>
      <w:pPr>
        <w:pStyle w:val="2"/>
        <w:ind w:firstLine="420" w:firstLineChars="150"/>
        <w:rPr>
          <w:rFonts w:ascii="仿宋_GB2312" w:eastAsia="仿宋_GB2312"/>
          <w:b w:val="0"/>
          <w:bCs w:val="0"/>
          <w:sz w:val="28"/>
          <w:szCs w:val="36"/>
        </w:rPr>
      </w:pPr>
      <w:r>
        <w:rPr>
          <w:rFonts w:hint="eastAsia" w:ascii="仿宋_GB2312" w:eastAsia="仿宋_GB2312"/>
          <w:b w:val="0"/>
          <w:bCs w:val="0"/>
          <w:sz w:val="28"/>
          <w:szCs w:val="36"/>
        </w:rPr>
        <w:t>实有退休人员56人（上年54人）, 同比上年增加2人。</w:t>
      </w:r>
    </w:p>
    <w:p>
      <w:pPr>
        <w:pStyle w:val="5"/>
        <w:spacing w:line="360" w:lineRule="auto"/>
        <w:ind w:firstLine="562" w:firstLineChars="200"/>
        <w:rPr>
          <w:rStyle w:val="17"/>
          <w:rFonts w:ascii="仿宋" w:hAnsi="仿宋" w:eastAsia="仿宋"/>
          <w:b/>
          <w:bCs/>
        </w:rPr>
      </w:pPr>
      <w:bookmarkStart w:id="7" w:name="_Toc70450293"/>
      <w:r>
        <w:rPr>
          <w:rStyle w:val="17"/>
          <w:rFonts w:ascii="仿宋" w:hAnsi="仿宋" w:eastAsia="仿宋"/>
          <w:b/>
          <w:bCs/>
        </w:rPr>
        <w:t>3</w:t>
      </w:r>
      <w:r>
        <w:rPr>
          <w:rStyle w:val="17"/>
          <w:rFonts w:hint="eastAsia" w:ascii="仿宋" w:hAnsi="仿宋" w:eastAsia="仿宋"/>
          <w:b/>
          <w:bCs/>
        </w:rPr>
        <w:t>、重点工作计划</w:t>
      </w:r>
      <w:bookmarkEnd w:id="7"/>
    </w:p>
    <w:p>
      <w:pPr>
        <w:pStyle w:val="13"/>
        <w:widowControl/>
        <w:spacing w:before="40" w:beforeAutospacing="0" w:after="0" w:afterAutospacing="0" w:line="520" w:lineRule="atLeast"/>
        <w:ind w:firstLine="560" w:firstLineChars="200"/>
        <w:jc w:val="both"/>
        <w:rPr>
          <w:rFonts w:ascii="仿宋_GB2312" w:eastAsia="仿宋_GB2312" w:cstheme="minorBidi"/>
          <w:sz w:val="28"/>
          <w:szCs w:val="36"/>
        </w:rPr>
      </w:pPr>
      <w:bookmarkStart w:id="8" w:name="_Toc70450294"/>
      <w:r>
        <w:rPr>
          <w:rFonts w:hint="eastAsia" w:ascii="仿宋_GB2312" w:eastAsia="仿宋_GB2312" w:cstheme="minorBidi"/>
          <w:sz w:val="28"/>
          <w:szCs w:val="36"/>
        </w:rPr>
        <w:t>1.加强科学规划编制。一是围绕“一体两翼三核一轴线一环线”旅游发展框架，以《特克斯县全域旅游发展规划》为核心，坚持“一体规划，差异发展”的原则，统筹推进城、草、水、森林、人文等“多规合一”，以规划促进产业融合，确保一张蓝图绘到底，逐渐拓展形成配套、特色、专项旅游产品聚集区，实现更大范围的版块拓展和节点之间的联动发展。</w:t>
      </w:r>
    </w:p>
    <w:p>
      <w:pPr>
        <w:pStyle w:val="13"/>
        <w:widowControl/>
        <w:spacing w:before="40" w:beforeAutospacing="0" w:after="0" w:afterAutospacing="0" w:line="520" w:lineRule="atLeast"/>
        <w:ind w:firstLine="560" w:firstLineChars="200"/>
        <w:jc w:val="both"/>
        <w:rPr>
          <w:rFonts w:ascii="仿宋_GB2312" w:eastAsia="仿宋_GB2312" w:cstheme="minorBidi"/>
          <w:sz w:val="28"/>
          <w:szCs w:val="36"/>
        </w:rPr>
      </w:pPr>
      <w:r>
        <w:rPr>
          <w:rFonts w:hint="eastAsia" w:ascii="仿宋_GB2312" w:eastAsia="仿宋_GB2312" w:cstheme="minorBidi"/>
          <w:sz w:val="28"/>
          <w:szCs w:val="36"/>
        </w:rPr>
        <w:t>2.完善基础服务设施。加强外部通县旅游大环线和内部通乡景区小环线建设；完成智慧旅游、三级集散体系、旅游公路及沿途旅游服务配套设施建设，着力解决“三难一不畅”问题；结合文化、体育、康养等旅游项目，着力提高喀拉峻、八卦城、琼库什台等重点景区建设水平与服务质量；重点打造花海喀拉峻、峻城庄园、锦盛庄园、阿家铺子等田园综合体，阿克塔斯、阿腾套、克孜勒阔拉、喀拉峻等乡镇旅游特色村寨景区，塞克云端草原风景道及旅游沿线万亩精品农业观光带、丘陵花海、景区花卉廊道等观光基地。</w:t>
      </w:r>
    </w:p>
    <w:p>
      <w:pPr>
        <w:pStyle w:val="13"/>
        <w:widowControl/>
        <w:spacing w:before="40" w:beforeAutospacing="0" w:after="0" w:afterAutospacing="0" w:line="520" w:lineRule="atLeast"/>
        <w:ind w:firstLine="560" w:firstLineChars="200"/>
        <w:jc w:val="both"/>
        <w:rPr>
          <w:rFonts w:ascii="仿宋_GB2312" w:eastAsia="仿宋_GB2312" w:cstheme="minorBidi"/>
          <w:sz w:val="28"/>
          <w:szCs w:val="36"/>
        </w:rPr>
      </w:pPr>
      <w:r>
        <w:rPr>
          <w:rFonts w:hint="eastAsia" w:ascii="仿宋_GB2312" w:eastAsia="仿宋_GB2312" w:cstheme="minorBidi"/>
          <w:sz w:val="28"/>
          <w:szCs w:val="36"/>
        </w:rPr>
        <w:t>3.加快特色精品创建。结合特克斯县独特自然人文资源，立足旅游需求全要素，重点打造太极眼、太极坛、易经文化园等文化游赏品牌；打造喀拉峻、滨河公园、离街等婚庆旅游品牌基地；打造民族婚礼习俗、民族文艺演出、民族特色餐饮等民俗旅游品牌；打造手工技艺体验、国学大讲堂、研学旅游、书法、摄影等文化旅游体验、创作基地品牌；开发周末经济、假日经济，打造“夜景、夜娱、夜演、夜购、夜宴”业态产品，打响“夜宿八卦城”品牌；力争成功创建国家全域旅游示范区、中国生态气候康养宜居地、自治区康养旅游先行先试区、喀拉峻国家生态旅游示范区、八卦城国家4A级景区；</w:t>
      </w:r>
    </w:p>
    <w:p>
      <w:pPr>
        <w:pStyle w:val="13"/>
        <w:widowControl/>
        <w:spacing w:before="40" w:beforeAutospacing="0" w:after="0" w:afterAutospacing="0" w:line="520" w:lineRule="atLeast"/>
        <w:ind w:firstLine="560" w:firstLineChars="200"/>
        <w:jc w:val="both"/>
        <w:rPr>
          <w:rFonts w:ascii="仿宋_GB2312" w:eastAsia="仿宋_GB2312" w:cstheme="minorBidi"/>
          <w:sz w:val="28"/>
          <w:szCs w:val="36"/>
        </w:rPr>
      </w:pPr>
      <w:r>
        <w:rPr>
          <w:rFonts w:hint="eastAsia" w:ascii="仿宋_GB2312" w:eastAsia="仿宋_GB2312" w:cstheme="minorBidi"/>
          <w:sz w:val="28"/>
          <w:szCs w:val="36"/>
        </w:rPr>
        <w:t>4.推进产业融合发展。“旅游+农林水牧”。重点培育观光农业、采摘农业、果蔬庭院、家庭农牧场等乡村民俗体验旅游业态，推进实施蘑菇文化园、蜜蜂乐园等项目；加强涵盖全县农林水牧特色旅游产品研发生产，打造“特克斯礼物”旅游伴手礼。“旅游+康养”。围绕构建“医、养、休、游”四位一体康养旅游服务生态系统，深入推进森林康养、草原康养、温泉康养、民宿康养、餐饮康养、运动康养、医疗康养六大产品体系；“旅游+文化”。深入挖掘特克斯县易经、乌孙、草原等优势文化资源，不断丰富离街业态，加快打造“馕产业一条街”“奇石产业一条街”“民族特色购物一条街”等具有地域特色的街区，推进托忒蒙文、草原石人等文化园建设；持续打造天山文化旅游季、“丝路易都·冰雪之恋”冬季旅活动等旅游节庆活动品牌；“旅游+体育”。以泛户外运动及相关教育培训产业、文化产业带动，重点打造九曲十八弯运动小镇、阿家铺子低空飞行基地、乌孙古道、喀什古道徒步旅游营地、喀拉峻冰雪运动中心、克孜阔拉房车自驾车营地；推出草原赛马、水上漂流、攀岩、湿地垂钓、健身养生等休闲体育项目，积极申报承办各类国内、国际赛事。“旅游+互联网”。加快推进智慧旅游平台、智慧景区建设，逐步实现主要旅游区、消费场所在线预订、网上支付、智能导游、电子讲解、实时信息推送；加快电子商务服务站（点）和网店建设，整合全县特色饮食、民宿（农牧家乐）、旅游产品等信息，同一品牌包装、营销推广；“旅游+民宿”。充分发挥民宿服务中心、民宿联盟作用，推进旅游民宿形成实体联盟，推行民宿分级管理和星级评定；重点打造八卦城民宿、喀拉峻民宿两大民宿集聚区，鼓励打造休闲度假型、康养健身型、乐享体验型等创意民宿综合体，叫响“特克斯旅游民宿”品牌，着力将“特克斯民宿”打造成为继自然、文化资源之后的第三大旅游资源；旅游+人才培养。”建立政府、高校、专业机构、旅游企业产教融合机制，大力培养旅游经营人、导游；持续开展旅游从业人员培训，强化全县干部群众、中小学生旅游知识培训；持续加强与武汉大学、新疆艺术学院、新疆财经大学、新疆大乾方文创产业有限公司校、地、企合作，加快推进研学基地建设；坚持人才引进和交流机制，发挥援疆优势，推进人才援疆战略，坚持高端旅游专业柔性人才引进。</w:t>
      </w:r>
    </w:p>
    <w:p>
      <w:pPr>
        <w:pStyle w:val="13"/>
        <w:widowControl/>
        <w:spacing w:before="40" w:beforeAutospacing="0" w:after="0" w:afterAutospacing="0" w:line="520" w:lineRule="atLeast"/>
        <w:ind w:firstLine="560" w:firstLineChars="200"/>
        <w:jc w:val="both"/>
        <w:rPr>
          <w:rFonts w:ascii="仿宋_GB2312" w:eastAsia="仿宋_GB2312" w:cstheme="minorBidi"/>
          <w:sz w:val="28"/>
          <w:szCs w:val="36"/>
        </w:rPr>
      </w:pPr>
      <w:r>
        <w:rPr>
          <w:rFonts w:hint="eastAsia" w:ascii="仿宋_GB2312" w:eastAsia="仿宋_GB2312" w:cstheme="minorBidi"/>
          <w:sz w:val="28"/>
          <w:szCs w:val="36"/>
        </w:rPr>
        <w:t>5.强化宣传营销推介。借助自治区旅游兴疆战略东风和“伊犁·国际旅游谷”总体营销，加强与伊宁市、昭苏县、巩留县等兄弟县市战略同盟，形成互推式营销；统筹“三大品牌”营销策划，依托援疆渠道，加强南京、北京、成都等主要客源地宣传营销，通过举办专场旅游推介会、参加旅游交易会、博览会、年会等进行强势宣传推介，不断提升“世界喀拉峻·中国八卦城”品牌影响力；借助广播电视、期刊报纸等传统媒体，继续做好疆内客群宣传工作；强化“两微一抖”新媒体营销，在做好旅游宣传营销的同时，完善线上线下功能；持续做好达人、直播、体验等事件营销策划；加大与县域外旅游行政部门、旅游企业、新闻媒体合作力度，完善双边多边合作机制，推动客源共享互送和营销资源互换共享。</w:t>
      </w:r>
    </w:p>
    <w:p>
      <w:pPr>
        <w:pStyle w:val="13"/>
        <w:widowControl/>
        <w:spacing w:before="40" w:beforeAutospacing="0" w:after="0" w:afterAutospacing="0" w:line="520" w:lineRule="atLeast"/>
        <w:ind w:firstLine="560" w:firstLineChars="200"/>
        <w:jc w:val="both"/>
        <w:rPr>
          <w:rFonts w:ascii="仿宋_GB2312" w:eastAsia="仿宋_GB2312" w:cstheme="minorBidi"/>
          <w:sz w:val="28"/>
          <w:szCs w:val="36"/>
        </w:rPr>
      </w:pPr>
      <w:r>
        <w:rPr>
          <w:rFonts w:hint="eastAsia" w:ascii="仿宋_GB2312" w:eastAsia="仿宋_GB2312" w:cstheme="minorBidi"/>
          <w:sz w:val="28"/>
          <w:szCs w:val="36"/>
        </w:rPr>
        <w:t>6.深入实施文化惠民。大力弘扬和传播中华文化、社会主义核心价值观，继承发展优秀传统文化，构筑各民族共有精神家园。推进国家公共文化服务体系示范区创建，深入实施文化惠民工程，持续推进“四馆一站”每周56小时零门槛免费开放；加快推进乡村综合文化服务中心、示范点建设，建立健全乡村文艺小分队，组织开展好百日广场文化活动、文化惠民下乡演出、农村公益电影放映等活动；稳步推进文工团改革，组建文艺演出联盟，探索商业化演出新模式；深入挖掘和发展草原文化、易经文化，着力谋划一批体现时代主旋律的文艺作品，打造本土文化品牌。</w:t>
      </w:r>
    </w:p>
    <w:p>
      <w:pPr>
        <w:pStyle w:val="2"/>
        <w:spacing w:line="360" w:lineRule="auto"/>
        <w:rPr>
          <w:rStyle w:val="17"/>
          <w:rFonts w:ascii="仿宋" w:hAnsi="仿宋" w:eastAsia="仿宋"/>
          <w:b/>
          <w:bCs/>
          <w:sz w:val="28"/>
          <w:szCs w:val="28"/>
        </w:rPr>
      </w:pPr>
      <w:bookmarkStart w:id="9" w:name="_Toc12737"/>
      <w:r>
        <w:rPr>
          <w:rStyle w:val="17"/>
          <w:rFonts w:hint="eastAsia" w:ascii="仿宋" w:hAnsi="仿宋" w:eastAsia="仿宋"/>
          <w:b/>
          <w:bCs/>
          <w:sz w:val="28"/>
          <w:szCs w:val="28"/>
        </w:rPr>
        <w:t>（二）部门单位整体支出规模、</w:t>
      </w:r>
      <w:bookmarkStart w:id="10" w:name="_Hlk70339807"/>
      <w:r>
        <w:rPr>
          <w:rStyle w:val="17"/>
          <w:rFonts w:hint="eastAsia" w:ascii="仿宋" w:hAnsi="仿宋" w:eastAsia="仿宋"/>
          <w:b/>
          <w:bCs/>
          <w:sz w:val="28"/>
          <w:szCs w:val="28"/>
        </w:rPr>
        <w:t>使用方法和主要内容、涉及对象及范围等</w:t>
      </w:r>
      <w:bookmarkEnd w:id="8"/>
      <w:bookmarkEnd w:id="9"/>
    </w:p>
    <w:bookmarkEnd w:id="10"/>
    <w:p>
      <w:pPr>
        <w:pStyle w:val="5"/>
        <w:spacing w:line="360" w:lineRule="auto"/>
        <w:ind w:firstLine="562" w:firstLineChars="200"/>
        <w:rPr>
          <w:rStyle w:val="17"/>
          <w:rFonts w:ascii="仿宋" w:hAnsi="仿宋" w:eastAsia="仿宋"/>
          <w:b/>
          <w:bCs/>
        </w:rPr>
      </w:pPr>
      <w:bookmarkStart w:id="11" w:name="_Toc70450295"/>
      <w:r>
        <w:rPr>
          <w:rStyle w:val="17"/>
          <w:rFonts w:hint="eastAsia" w:ascii="仿宋" w:hAnsi="仿宋" w:eastAsia="仿宋"/>
          <w:b/>
          <w:bCs/>
        </w:rPr>
        <w:t>1、部门单位整体支出规模</w:t>
      </w:r>
      <w:bookmarkEnd w:id="11"/>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2021年批复我单位预算为13565.71万元，其中：财政拨款为13565.71万元。年中追加资金12888.50万元，调整率1903.18%。对比上年</w:t>
      </w:r>
      <w:r>
        <w:rPr>
          <w:rStyle w:val="17"/>
          <w:rFonts w:hint="eastAsia" w:ascii="仿宋_GB2312" w:hAnsi="楷体" w:eastAsia="仿宋_GB2312" w:cs="Times New Roman"/>
          <w:b w:val="0"/>
          <w:spacing w:val="-4"/>
          <w:sz w:val="28"/>
          <w:szCs w:val="28"/>
        </w:rPr>
        <w:t>4489.48万元</w:t>
      </w:r>
      <w:r>
        <w:rPr>
          <w:rStyle w:val="17"/>
          <w:rFonts w:hint="eastAsia" w:ascii="仿宋_GB2312" w:hAnsi="楷体" w:eastAsia="仿宋_GB2312"/>
          <w:b w:val="0"/>
          <w:spacing w:val="-4"/>
          <w:sz w:val="28"/>
          <w:szCs w:val="28"/>
        </w:rPr>
        <w:t>增加9076.23万元，上升202.17%。</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2021年实际决算支出13565.71万元，执行率100%，其中：</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（1）基本支出1030.69万元，占总支出的7.60％，主要用于本单位机构正常运转、完成日常工作任务而发生的各项支出。其中：工资福利支出</w:t>
      </w:r>
      <w:r>
        <w:rPr>
          <w:rStyle w:val="17"/>
          <w:rFonts w:hint="eastAsia" w:ascii="仿宋_GB2312" w:hAnsi="楷体" w:eastAsia="仿宋_GB2312"/>
          <w:b w:val="0"/>
          <w:spacing w:val="-4"/>
          <w:sz w:val="28"/>
          <w:szCs w:val="28"/>
          <w:highlight w:val="none"/>
        </w:rPr>
        <w:t>944.89万元，主要用于在职和离退休人员基本工资、津贴补贴等人员经费。商品和服务支出40.90万元，主要用于办公费、印刷费、水电费、办公设备购置等。对个人和家庭的补助44.90万元，主</w:t>
      </w:r>
      <w:r>
        <w:rPr>
          <w:rStyle w:val="17"/>
          <w:rFonts w:hint="eastAsia" w:ascii="仿宋_GB2312" w:hAnsi="楷体" w:eastAsia="仿宋_GB2312"/>
          <w:b w:val="0"/>
          <w:spacing w:val="-4"/>
          <w:sz w:val="28"/>
          <w:szCs w:val="28"/>
        </w:rPr>
        <w:t>要用于抚恤金和生活补助。资本性支出0万元。</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）项目支出12535.02万元，占总支出的92.40％。其中</w:t>
      </w:r>
      <w:r>
        <w:rPr>
          <w:rStyle w:val="17"/>
          <w:rFonts w:hint="eastAsia" w:ascii="仿宋_GB2312" w:hAnsi="楷体" w:eastAsia="仿宋_GB2312"/>
          <w:b w:val="0"/>
          <w:spacing w:val="-4"/>
          <w:sz w:val="28"/>
          <w:szCs w:val="28"/>
          <w:highlight w:val="none"/>
        </w:rPr>
        <w:t>：三馆免费开放资金项目安</w:t>
      </w:r>
      <w:r>
        <w:rPr>
          <w:rStyle w:val="17"/>
          <w:rFonts w:hint="eastAsia" w:ascii="仿宋_GB2312" w:hAnsi="楷体" w:eastAsia="仿宋_GB2312" w:cs="Times New Roman"/>
          <w:b w:val="0"/>
          <w:spacing w:val="-4"/>
          <w:sz w:val="28"/>
          <w:szCs w:val="28"/>
        </w:rPr>
        <w:t>排16.03万元，主要用于完成美术馆、公共图书馆、文化馆（站）免费项目支出；美术馆、公共图书馆、文化馆（站）免费开放资金经费项目安排20.30万元，主要用于美术馆、公共图书馆、文化馆（站）免费开放项目支出；文化创作与保护项目安排14.00万元，主要用于完成2021年非物质文化遗产保护资金支出；旅游宣传项目安排56.15万元，主要用于完成《乡村大舞台》拍摄项目资金；其他文化和旅游支出项目安排312.61万元，主要用于完成特克斯县健康中心建设项目、旅游发展基金补助地方项目资金、冬季旅游宣传活动经费、南京国际度假休闲及房车展览资金、特克斯县旅游厕所项目、自治区旅游专项；文物项目安排20.93万元，主要用于完成自治区野外看护员补助；广播电视项目安排27.12万元，主要用于完成2020年广播电视“村村通”运行维护聘用人员经费项目；其他文化旅游体育与传媒支出项目安排37.88万元，主要用于完成特克斯县全域旅游基础设施建设项目；其他政府性基金及对应专项债务收入安排的支出项目安排12030万元，主要用于完成特克斯县全域旅游基础设施建设项目，购置健身器材。</w:t>
      </w:r>
    </w:p>
    <w:p>
      <w:pPr>
        <w:spacing w:line="360" w:lineRule="auto"/>
        <w:ind w:firstLine="544" w:firstLineChars="200"/>
        <w:rPr>
          <w:rStyle w:val="17"/>
          <w:rFonts w:asciiTheme="minorEastAsia" w:hAnsiTheme="minorEastAsia"/>
          <w:bCs w:val="0"/>
          <w:color w:val="FF000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3</w:t>
      </w:r>
      <w:r>
        <w:rPr>
          <w:rStyle w:val="17"/>
          <w:rFonts w:hint="eastAsia" w:ascii="仿宋_GB2312" w:hAnsi="楷体" w:eastAsia="仿宋_GB2312"/>
          <w:b w:val="0"/>
          <w:spacing w:val="-4"/>
          <w:sz w:val="28"/>
          <w:szCs w:val="28"/>
        </w:rPr>
        <w:t>）本年度重点项目支出12030万元，重点支出保障率95.97%。其中重点保障项目是特克斯县全域旅游基础设施建设项目。</w:t>
      </w:r>
    </w:p>
    <w:p>
      <w:pPr>
        <w:spacing w:line="360" w:lineRule="auto"/>
        <w:ind w:firstLine="544" w:firstLineChars="200"/>
        <w:rPr>
          <w:rStyle w:val="17"/>
          <w:rFonts w:ascii="仿宋_GB2312" w:hAnsi="楷体" w:eastAsia="仿宋_GB2312"/>
          <w:b w:val="0"/>
          <w:spacing w:val="-4"/>
          <w:sz w:val="32"/>
          <w:szCs w:val="32"/>
        </w:rPr>
      </w:pPr>
      <w:r>
        <w:rPr>
          <w:rStyle w:val="17"/>
          <w:rFonts w:hint="eastAsia" w:ascii="仿宋_GB2312" w:hAnsi="楷体" w:eastAsia="仿宋_GB2312"/>
          <w:b w:val="0"/>
          <w:spacing w:val="-4"/>
          <w:sz w:val="28"/>
          <w:szCs w:val="28"/>
        </w:rPr>
        <w:t>（4）</w:t>
      </w:r>
      <w:r>
        <w:rPr>
          <w:rStyle w:val="17"/>
          <w:rFonts w:hint="eastAsia" w:ascii="仿宋_GB2312" w:hAnsi="楷体" w:eastAsia="仿宋_GB2312" w:cs="Times New Roman"/>
          <w:b w:val="0"/>
          <w:spacing w:val="-4"/>
          <w:sz w:val="28"/>
          <w:szCs w:val="28"/>
        </w:rPr>
        <w:t>本年度我单位无政府采购预算</w:t>
      </w:r>
      <w:r>
        <w:rPr>
          <w:rStyle w:val="17"/>
          <w:rFonts w:hint="eastAsia" w:ascii="仿宋_GB2312" w:hAnsi="楷体" w:eastAsia="仿宋_GB2312"/>
          <w:b w:val="0"/>
          <w:spacing w:val="-4"/>
          <w:sz w:val="28"/>
          <w:szCs w:val="28"/>
        </w:rPr>
        <w:t>。</w:t>
      </w:r>
    </w:p>
    <w:p>
      <w:pPr>
        <w:pStyle w:val="5"/>
        <w:spacing w:line="360" w:lineRule="auto"/>
        <w:ind w:firstLine="562" w:firstLineChars="200"/>
        <w:rPr>
          <w:rStyle w:val="17"/>
          <w:rFonts w:ascii="仿宋" w:hAnsi="仿宋" w:eastAsia="仿宋"/>
          <w:b/>
          <w:bCs/>
        </w:rPr>
      </w:pPr>
      <w:bookmarkStart w:id="12" w:name="_Toc70450296"/>
      <w:r>
        <w:rPr>
          <w:rStyle w:val="17"/>
          <w:rFonts w:ascii="仿宋" w:hAnsi="仿宋" w:eastAsia="仿宋"/>
          <w:b/>
          <w:bCs/>
        </w:rPr>
        <w:t>2</w:t>
      </w:r>
      <w:r>
        <w:rPr>
          <w:rStyle w:val="17"/>
          <w:rFonts w:hint="eastAsia" w:ascii="仿宋" w:hAnsi="仿宋" w:eastAsia="仿宋"/>
          <w:b/>
          <w:bCs/>
        </w:rPr>
        <w:t>、整体支出评价使用方法和主要内容、涉及对象及范围等</w:t>
      </w:r>
      <w:bookmarkEnd w:id="12"/>
    </w:p>
    <w:p>
      <w:pPr>
        <w:spacing w:line="360" w:lineRule="auto"/>
        <w:ind w:firstLine="560" w:firstLineChars="200"/>
        <w:rPr>
          <w:rStyle w:val="17"/>
          <w:rFonts w:ascii="仿宋_GB2312" w:eastAsia="仿宋_GB2312"/>
          <w:b w:val="0"/>
          <w:bCs w:val="0"/>
          <w:sz w:val="28"/>
          <w:szCs w:val="36"/>
        </w:rPr>
      </w:pPr>
      <w:r>
        <w:rPr>
          <w:rFonts w:hint="eastAsia" w:ascii="仿宋_GB2312" w:eastAsia="仿宋_GB2312"/>
          <w:sz w:val="28"/>
          <w:szCs w:val="36"/>
        </w:rPr>
        <w:t>（1）</w:t>
      </w:r>
      <w:r>
        <w:rPr>
          <w:rStyle w:val="17"/>
          <w:rFonts w:hint="eastAsia" w:ascii="仿宋_GB2312" w:eastAsia="仿宋_GB2312"/>
          <w:b w:val="0"/>
          <w:bCs w:val="0"/>
          <w:sz w:val="28"/>
          <w:szCs w:val="36"/>
        </w:rPr>
        <w:t>整体支出评价使用方法</w:t>
      </w:r>
    </w:p>
    <w:p>
      <w:pPr>
        <w:spacing w:line="360" w:lineRule="auto"/>
        <w:ind w:firstLine="544" w:firstLineChars="200"/>
        <w:rPr>
          <w:rStyle w:val="17"/>
          <w:rFonts w:ascii="仿宋_GB2312" w:hAnsi="楷体" w:eastAsia="仿宋_GB2312"/>
          <w:b w:val="0"/>
          <w:spacing w:val="-4"/>
          <w:sz w:val="28"/>
          <w:szCs w:val="28"/>
          <w:highlight w:val="yellow"/>
        </w:rPr>
      </w:pPr>
      <w:r>
        <w:rPr>
          <w:rStyle w:val="17"/>
          <w:rFonts w:hint="eastAsia" w:ascii="仿宋_GB2312" w:hAnsi="楷体" w:eastAsia="仿宋_GB2312"/>
          <w:b w:val="0"/>
          <w:bCs w:val="0"/>
          <w:spacing w:val="-4"/>
          <w:sz w:val="28"/>
          <w:szCs w:val="28"/>
        </w:rPr>
        <w:t>本次单位整体支出绩效自评采用因素分析方法，原因是：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7"/>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（3）整体支出评价涉及对象及范围</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涉及对象：</w:t>
      </w:r>
      <w:r>
        <w:rPr>
          <w:rFonts w:hint="eastAsia" w:ascii="仿宋_GB2312" w:eastAsia="仿宋_GB2312"/>
          <w:sz w:val="28"/>
          <w:szCs w:val="36"/>
        </w:rPr>
        <w:t>本次评价对象是特克斯县文化体育广播电视和旅游局所有财政资金支出活动。</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整体支出评价范围：</w:t>
      </w:r>
    </w:p>
    <w:p>
      <w:pPr>
        <w:spacing w:line="360" w:lineRule="auto"/>
        <w:ind w:firstLine="544" w:firstLineChars="200"/>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1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①</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基本支出1030.69万元，其中：工资福利支出、商品和服务支出、对个人和家庭的补助支出。</w:t>
      </w:r>
    </w:p>
    <w:p>
      <w:pPr>
        <w:pStyle w:val="31"/>
        <w:spacing w:line="520" w:lineRule="atLeast"/>
        <w:rPr>
          <w:rFonts w:hAnsiTheme="minorHAnsi" w:cstheme="minorBidi"/>
          <w:color w:val="auto"/>
          <w:kern w:val="2"/>
          <w:sz w:val="28"/>
          <w:szCs w:val="36"/>
        </w:rPr>
      </w:pPr>
      <w:r>
        <w:rPr>
          <w:rFonts w:hAnsiTheme="minorHAnsi" w:cstheme="minorBidi"/>
          <w:color w:val="auto"/>
          <w:kern w:val="2"/>
          <w:sz w:val="28"/>
          <w:szCs w:val="36"/>
        </w:rPr>
        <w:fldChar w:fldCharType="begin"/>
      </w:r>
      <w:r>
        <w:rPr>
          <w:rFonts w:hAnsiTheme="minorHAnsi" w:cstheme="minorBidi"/>
          <w:color w:val="auto"/>
          <w:kern w:val="2"/>
          <w:sz w:val="28"/>
          <w:szCs w:val="36"/>
        </w:rPr>
        <w:instrText xml:space="preserve"> </w:instrText>
      </w:r>
      <w:r>
        <w:rPr>
          <w:rFonts w:hint="eastAsia" w:hAnsiTheme="minorHAnsi" w:cstheme="minorBidi"/>
          <w:color w:val="auto"/>
          <w:kern w:val="2"/>
          <w:sz w:val="28"/>
          <w:szCs w:val="36"/>
        </w:rPr>
        <w:instrText xml:space="preserve">= 2 \* GB3</w:instrText>
      </w:r>
      <w:r>
        <w:rPr>
          <w:rFonts w:hAnsiTheme="minorHAnsi" w:cstheme="minorBidi"/>
          <w:color w:val="auto"/>
          <w:kern w:val="2"/>
          <w:sz w:val="28"/>
          <w:szCs w:val="36"/>
        </w:rPr>
        <w:instrText xml:space="preserve"> </w:instrText>
      </w:r>
      <w:r>
        <w:rPr>
          <w:rFonts w:hAnsiTheme="minorHAnsi" w:cstheme="minorBidi"/>
          <w:color w:val="auto"/>
          <w:kern w:val="2"/>
          <w:sz w:val="28"/>
          <w:szCs w:val="36"/>
        </w:rPr>
        <w:fldChar w:fldCharType="separate"/>
      </w:r>
      <w:r>
        <w:rPr>
          <w:rFonts w:hint="eastAsia" w:hAnsiTheme="minorHAnsi" w:cstheme="minorBidi"/>
          <w:color w:val="auto"/>
          <w:kern w:val="2"/>
          <w:sz w:val="28"/>
          <w:szCs w:val="36"/>
        </w:rPr>
        <w:t>②</w:t>
      </w:r>
      <w:r>
        <w:rPr>
          <w:rFonts w:hAnsiTheme="minorHAnsi" w:cstheme="minorBidi"/>
          <w:color w:val="auto"/>
          <w:kern w:val="2"/>
          <w:sz w:val="28"/>
          <w:szCs w:val="36"/>
        </w:rPr>
        <w:fldChar w:fldCharType="end"/>
      </w:r>
      <w:r>
        <w:rPr>
          <w:rFonts w:hint="eastAsia" w:hAnsiTheme="minorHAnsi" w:cstheme="minorBidi"/>
          <w:color w:val="auto"/>
          <w:kern w:val="2"/>
          <w:sz w:val="28"/>
          <w:szCs w:val="36"/>
        </w:rPr>
        <w:t>项目支出12535.02万元：</w:t>
      </w:r>
    </w:p>
    <w:p>
      <w:pPr>
        <w:pStyle w:val="31"/>
        <w:spacing w:line="520" w:lineRule="atLeast"/>
        <w:rPr>
          <w:rFonts w:hAnsiTheme="minorHAnsi" w:cstheme="minorBidi"/>
          <w:color w:val="auto"/>
          <w:kern w:val="2"/>
          <w:sz w:val="28"/>
          <w:szCs w:val="36"/>
        </w:rPr>
      </w:pPr>
      <w:r>
        <w:rPr>
          <w:rFonts w:hAnsiTheme="minorHAnsi" w:cstheme="minorBidi"/>
          <w:color w:val="auto"/>
          <w:kern w:val="2"/>
          <w:sz w:val="28"/>
          <w:szCs w:val="36"/>
        </w:rPr>
        <w:t>1、自治区非物质文化遗产保护（玛纳斯保护项目）经费；</w:t>
      </w:r>
    </w:p>
    <w:p>
      <w:pPr>
        <w:pStyle w:val="31"/>
        <w:spacing w:line="520" w:lineRule="atLeast"/>
        <w:rPr>
          <w:rFonts w:hAnsiTheme="minorHAnsi" w:cstheme="minorBidi"/>
          <w:color w:val="auto"/>
          <w:kern w:val="2"/>
          <w:sz w:val="28"/>
          <w:szCs w:val="36"/>
        </w:rPr>
      </w:pPr>
      <w:r>
        <w:rPr>
          <w:rFonts w:hAnsiTheme="minorHAnsi" w:cstheme="minorBidi"/>
          <w:color w:val="auto"/>
          <w:kern w:val="2"/>
          <w:sz w:val="28"/>
          <w:szCs w:val="36"/>
        </w:rPr>
        <w:t>2、村村通运行维护经费；</w:t>
      </w:r>
    </w:p>
    <w:p>
      <w:pPr>
        <w:pStyle w:val="31"/>
        <w:spacing w:line="520" w:lineRule="atLeast"/>
        <w:rPr>
          <w:rFonts w:hAnsiTheme="minorHAnsi" w:cstheme="minorBidi"/>
          <w:color w:val="auto"/>
          <w:kern w:val="2"/>
          <w:sz w:val="28"/>
          <w:szCs w:val="36"/>
        </w:rPr>
      </w:pPr>
      <w:r>
        <w:rPr>
          <w:rFonts w:hAnsiTheme="minorHAnsi" w:cstheme="minorBidi"/>
          <w:color w:val="auto"/>
          <w:kern w:val="2"/>
          <w:sz w:val="28"/>
          <w:szCs w:val="36"/>
        </w:rPr>
        <w:t>3、美术馆、公共图书馆、文化馆（站）免费开放资金经费；</w:t>
      </w:r>
    </w:p>
    <w:p>
      <w:pPr>
        <w:pStyle w:val="31"/>
        <w:spacing w:line="520" w:lineRule="atLeast"/>
        <w:rPr>
          <w:rFonts w:hAnsiTheme="minorHAnsi" w:cstheme="minorBidi"/>
          <w:color w:val="auto"/>
          <w:kern w:val="2"/>
          <w:sz w:val="28"/>
          <w:szCs w:val="36"/>
        </w:rPr>
      </w:pPr>
      <w:r>
        <w:rPr>
          <w:rFonts w:hAnsiTheme="minorHAnsi" w:cstheme="minorBidi"/>
          <w:color w:val="auto"/>
          <w:kern w:val="2"/>
          <w:sz w:val="28"/>
          <w:szCs w:val="36"/>
        </w:rPr>
        <w:t>4、博物馆免费开放补助经费；</w:t>
      </w:r>
    </w:p>
    <w:p>
      <w:pPr>
        <w:pStyle w:val="31"/>
        <w:spacing w:line="520" w:lineRule="atLeast"/>
        <w:rPr>
          <w:rFonts w:hAnsiTheme="minorHAnsi" w:cstheme="minorBidi"/>
          <w:color w:val="auto"/>
          <w:kern w:val="2"/>
          <w:sz w:val="28"/>
          <w:szCs w:val="36"/>
        </w:rPr>
      </w:pPr>
      <w:r>
        <w:rPr>
          <w:rFonts w:hAnsiTheme="minorHAnsi" w:cstheme="minorBidi"/>
          <w:color w:val="auto"/>
          <w:kern w:val="2"/>
          <w:sz w:val="28"/>
          <w:szCs w:val="36"/>
        </w:rPr>
        <w:t>5、</w:t>
      </w:r>
      <w:r>
        <w:rPr>
          <w:rFonts w:hint="eastAsia" w:hAnsiTheme="minorHAnsi" w:cstheme="minorBidi"/>
          <w:color w:val="auto"/>
          <w:kern w:val="2"/>
          <w:sz w:val="28"/>
          <w:szCs w:val="36"/>
        </w:rPr>
        <w:t>购置健身器材</w:t>
      </w:r>
      <w:r>
        <w:rPr>
          <w:rFonts w:hAnsiTheme="minorHAnsi" w:cstheme="minorBidi"/>
          <w:color w:val="auto"/>
          <w:kern w:val="2"/>
          <w:sz w:val="28"/>
          <w:szCs w:val="36"/>
        </w:rPr>
        <w:t>；</w:t>
      </w:r>
    </w:p>
    <w:p>
      <w:pPr>
        <w:pStyle w:val="31"/>
        <w:spacing w:line="520" w:lineRule="atLeast"/>
        <w:rPr>
          <w:rFonts w:hAnsiTheme="minorHAnsi" w:cstheme="minorBidi"/>
          <w:color w:val="auto"/>
          <w:kern w:val="2"/>
          <w:sz w:val="28"/>
          <w:szCs w:val="36"/>
        </w:rPr>
      </w:pPr>
      <w:r>
        <w:rPr>
          <w:rFonts w:hAnsiTheme="minorHAnsi" w:cstheme="minorBidi"/>
          <w:color w:val="auto"/>
          <w:kern w:val="2"/>
          <w:sz w:val="28"/>
          <w:szCs w:val="36"/>
        </w:rPr>
        <w:t>6、</w:t>
      </w:r>
      <w:r>
        <w:rPr>
          <w:rFonts w:hint="eastAsia" w:hAnsiTheme="minorHAnsi" w:cstheme="minorBidi"/>
          <w:color w:val="auto"/>
          <w:kern w:val="2"/>
          <w:sz w:val="28"/>
          <w:szCs w:val="36"/>
        </w:rPr>
        <w:t>特克斯县全域旅游基础设施建设项目</w:t>
      </w:r>
      <w:r>
        <w:rPr>
          <w:rFonts w:hAnsiTheme="minorHAnsi" w:cstheme="minorBidi"/>
          <w:color w:val="auto"/>
          <w:kern w:val="2"/>
          <w:sz w:val="28"/>
          <w:szCs w:val="36"/>
        </w:rPr>
        <w:t>；</w:t>
      </w:r>
    </w:p>
    <w:p>
      <w:pPr>
        <w:pStyle w:val="31"/>
        <w:spacing w:line="520" w:lineRule="atLeast"/>
        <w:rPr>
          <w:rFonts w:hAnsiTheme="minorHAnsi" w:cstheme="minorBidi"/>
          <w:color w:val="auto"/>
          <w:kern w:val="2"/>
          <w:sz w:val="28"/>
          <w:szCs w:val="36"/>
        </w:rPr>
      </w:pPr>
      <w:r>
        <w:rPr>
          <w:rFonts w:hAnsiTheme="minorHAnsi" w:cstheme="minorBidi"/>
          <w:color w:val="auto"/>
          <w:kern w:val="2"/>
          <w:sz w:val="28"/>
          <w:szCs w:val="36"/>
        </w:rPr>
        <w:t>7、健康中心建设项目经费；</w:t>
      </w:r>
    </w:p>
    <w:p>
      <w:pPr>
        <w:pStyle w:val="31"/>
        <w:spacing w:line="520" w:lineRule="atLeast"/>
        <w:rPr>
          <w:rFonts w:hAnsiTheme="minorHAnsi" w:cstheme="minorBidi"/>
          <w:color w:val="auto"/>
          <w:kern w:val="2"/>
          <w:sz w:val="28"/>
          <w:szCs w:val="36"/>
        </w:rPr>
      </w:pPr>
      <w:r>
        <w:rPr>
          <w:rFonts w:hint="eastAsia" w:hAnsiTheme="minorHAnsi" w:cstheme="minorBidi"/>
          <w:color w:val="auto"/>
          <w:kern w:val="2"/>
          <w:sz w:val="28"/>
          <w:szCs w:val="36"/>
        </w:rPr>
        <w:t>8</w:t>
      </w:r>
      <w:r>
        <w:rPr>
          <w:rFonts w:hAnsiTheme="minorHAnsi" w:cstheme="minorBidi"/>
          <w:color w:val="auto"/>
          <w:kern w:val="2"/>
          <w:sz w:val="28"/>
          <w:szCs w:val="36"/>
        </w:rPr>
        <w:t>、看护员专项资金经费；</w:t>
      </w:r>
    </w:p>
    <w:p>
      <w:pPr>
        <w:pStyle w:val="31"/>
        <w:spacing w:line="520" w:lineRule="atLeast"/>
        <w:rPr>
          <w:rFonts w:hAnsiTheme="minorHAnsi" w:cstheme="minorBidi"/>
          <w:color w:val="auto"/>
          <w:kern w:val="2"/>
          <w:sz w:val="28"/>
          <w:szCs w:val="36"/>
        </w:rPr>
      </w:pPr>
      <w:r>
        <w:rPr>
          <w:rFonts w:hint="eastAsia" w:hAnsiTheme="minorHAnsi" w:cstheme="minorBidi"/>
          <w:color w:val="auto"/>
          <w:kern w:val="2"/>
          <w:sz w:val="28"/>
          <w:szCs w:val="36"/>
        </w:rPr>
        <w:t>9</w:t>
      </w:r>
      <w:r>
        <w:rPr>
          <w:rFonts w:hAnsiTheme="minorHAnsi" w:cstheme="minorBidi"/>
          <w:color w:val="auto"/>
          <w:kern w:val="2"/>
          <w:sz w:val="28"/>
          <w:szCs w:val="36"/>
        </w:rPr>
        <w:t>、旅游厕所服务经费；</w:t>
      </w:r>
    </w:p>
    <w:p>
      <w:pPr>
        <w:pStyle w:val="31"/>
        <w:spacing w:line="520" w:lineRule="atLeast"/>
        <w:rPr>
          <w:rFonts w:hAnsiTheme="minorHAnsi" w:cstheme="minorBidi"/>
          <w:color w:val="auto"/>
          <w:kern w:val="2"/>
          <w:sz w:val="28"/>
          <w:szCs w:val="36"/>
        </w:rPr>
      </w:pPr>
      <w:r>
        <w:rPr>
          <w:rFonts w:hint="eastAsia" w:hAnsiTheme="minorHAnsi" w:cstheme="minorBidi"/>
          <w:color w:val="auto"/>
          <w:kern w:val="2"/>
          <w:sz w:val="28"/>
          <w:szCs w:val="36"/>
        </w:rPr>
        <w:t>10</w:t>
      </w:r>
      <w:r>
        <w:rPr>
          <w:rFonts w:hAnsiTheme="minorHAnsi" w:cstheme="minorBidi"/>
          <w:color w:val="auto"/>
          <w:kern w:val="2"/>
          <w:sz w:val="28"/>
          <w:szCs w:val="36"/>
        </w:rPr>
        <w:t>、全域旅游规划、重点项目方案及旅游节点规划项目经费；</w:t>
      </w:r>
    </w:p>
    <w:p>
      <w:pPr>
        <w:pStyle w:val="31"/>
        <w:spacing w:line="520" w:lineRule="atLeast"/>
        <w:rPr>
          <w:rFonts w:hAnsiTheme="minorHAnsi" w:cstheme="minorBidi"/>
          <w:color w:val="auto"/>
          <w:kern w:val="2"/>
          <w:sz w:val="28"/>
          <w:szCs w:val="36"/>
        </w:rPr>
      </w:pPr>
      <w:r>
        <w:rPr>
          <w:rFonts w:hAnsiTheme="minorHAnsi" w:cstheme="minorBidi"/>
          <w:color w:val="auto"/>
          <w:kern w:val="2"/>
          <w:sz w:val="28"/>
          <w:szCs w:val="36"/>
        </w:rPr>
        <w:t>1</w:t>
      </w:r>
      <w:r>
        <w:rPr>
          <w:rFonts w:hint="eastAsia" w:hAnsiTheme="minorHAnsi" w:cstheme="minorBidi"/>
          <w:color w:val="auto"/>
          <w:kern w:val="2"/>
          <w:sz w:val="28"/>
          <w:szCs w:val="36"/>
        </w:rPr>
        <w:t>1</w:t>
      </w:r>
      <w:r>
        <w:rPr>
          <w:rFonts w:hAnsiTheme="minorHAnsi" w:cstheme="minorBidi"/>
          <w:color w:val="auto"/>
          <w:kern w:val="2"/>
          <w:sz w:val="28"/>
          <w:szCs w:val="36"/>
        </w:rPr>
        <w:t>、</w:t>
      </w:r>
      <w:r>
        <w:rPr>
          <w:rFonts w:hint="eastAsia" w:hAnsiTheme="minorHAnsi" w:cstheme="minorBidi"/>
          <w:color w:val="auto"/>
          <w:kern w:val="2"/>
          <w:sz w:val="28"/>
          <w:szCs w:val="36"/>
        </w:rPr>
        <w:t>《乡村大舞台》拍摄项目资金</w:t>
      </w:r>
      <w:r>
        <w:rPr>
          <w:rFonts w:hAnsiTheme="minorHAnsi" w:cstheme="minorBidi"/>
          <w:color w:val="auto"/>
          <w:kern w:val="2"/>
          <w:sz w:val="28"/>
          <w:szCs w:val="36"/>
        </w:rPr>
        <w:t>；</w:t>
      </w:r>
    </w:p>
    <w:p>
      <w:pPr>
        <w:spacing w:line="360" w:lineRule="auto"/>
        <w:ind w:firstLine="560" w:firstLineChars="200"/>
        <w:rPr>
          <w:rFonts w:ascii="仿宋_GB2312" w:eastAsia="仿宋_GB2312"/>
          <w:sz w:val="28"/>
          <w:szCs w:val="36"/>
        </w:rPr>
      </w:pPr>
      <w:r>
        <w:rPr>
          <w:rFonts w:hint="eastAsia" w:ascii="仿宋_GB2312" w:eastAsia="仿宋_GB2312"/>
          <w:sz w:val="28"/>
          <w:szCs w:val="36"/>
        </w:rPr>
        <w:t>12. 旅游发展基金补助地方项目资金；</w:t>
      </w:r>
    </w:p>
    <w:p>
      <w:pPr>
        <w:spacing w:line="360" w:lineRule="auto"/>
        <w:ind w:firstLine="560" w:firstLineChars="200"/>
        <w:rPr>
          <w:rFonts w:ascii="仿宋_GB2312" w:eastAsia="仿宋_GB2312"/>
          <w:sz w:val="28"/>
          <w:szCs w:val="36"/>
        </w:rPr>
      </w:pPr>
      <w:r>
        <w:rPr>
          <w:rFonts w:hint="eastAsia" w:ascii="仿宋_GB2312" w:eastAsia="仿宋_GB2312"/>
          <w:sz w:val="28"/>
          <w:szCs w:val="36"/>
        </w:rPr>
        <w:t>13. 冬季旅游宣传活动经费；</w:t>
      </w:r>
    </w:p>
    <w:p>
      <w:pPr>
        <w:spacing w:line="360" w:lineRule="auto"/>
        <w:ind w:firstLine="560" w:firstLineChars="200"/>
        <w:rPr>
          <w:rFonts w:ascii="仿宋_GB2312" w:eastAsia="仿宋_GB2312"/>
          <w:sz w:val="28"/>
          <w:szCs w:val="36"/>
        </w:rPr>
      </w:pPr>
      <w:r>
        <w:rPr>
          <w:rFonts w:hint="eastAsia" w:ascii="仿宋_GB2312" w:eastAsia="仿宋_GB2312"/>
          <w:sz w:val="28"/>
          <w:szCs w:val="36"/>
        </w:rPr>
        <w:t>14.南京国际度假休闲及房车展览资金；</w:t>
      </w:r>
    </w:p>
    <w:p>
      <w:pPr>
        <w:spacing w:line="360" w:lineRule="auto"/>
        <w:ind w:firstLine="560" w:firstLineChars="200"/>
        <w:rPr>
          <w:rFonts w:ascii="仿宋_GB2312" w:eastAsia="仿宋_GB2312"/>
          <w:sz w:val="28"/>
          <w:szCs w:val="36"/>
        </w:rPr>
      </w:pPr>
      <w:r>
        <w:rPr>
          <w:rFonts w:hint="eastAsia" w:ascii="仿宋_GB2312" w:eastAsia="仿宋_GB2312"/>
          <w:sz w:val="28"/>
          <w:szCs w:val="36"/>
        </w:rPr>
        <w:t>15. 自治区旅游专项资金；</w:t>
      </w:r>
    </w:p>
    <w:p>
      <w:pPr>
        <w:spacing w:line="360" w:lineRule="auto"/>
        <w:ind w:firstLine="560" w:firstLineChars="200"/>
        <w:rPr>
          <w:rFonts w:ascii="仿宋_GB2312" w:eastAsia="仿宋_GB2312"/>
          <w:sz w:val="28"/>
          <w:szCs w:val="36"/>
        </w:rPr>
      </w:pPr>
      <w:r>
        <w:rPr>
          <w:rFonts w:hint="eastAsia" w:ascii="仿宋_GB2312" w:eastAsia="仿宋_GB2312"/>
          <w:sz w:val="28"/>
          <w:szCs w:val="36"/>
        </w:rPr>
        <w:t>16. 中央补助地方公共文化服务体系建设补助资金；</w:t>
      </w:r>
    </w:p>
    <w:p>
      <w:pPr>
        <w:spacing w:line="360" w:lineRule="auto"/>
        <w:ind w:firstLine="560" w:firstLineChars="200"/>
        <w:rPr>
          <w:bCs/>
          <w:szCs w:val="36"/>
        </w:rPr>
      </w:pPr>
      <w:r>
        <w:rPr>
          <w:rFonts w:hint="eastAsia" w:ascii="仿宋_GB2312" w:eastAsia="仿宋_GB2312"/>
          <w:sz w:val="28"/>
          <w:szCs w:val="36"/>
        </w:rPr>
        <w:t>17.少数民族地区文化安全专项资金</w:t>
      </w:r>
      <w:r>
        <w:rPr>
          <w:rFonts w:ascii="仿宋_GB2312" w:eastAsia="仿宋_GB2312"/>
          <w:sz w:val="28"/>
          <w:szCs w:val="36"/>
        </w:rPr>
        <w:t>。</w:t>
      </w:r>
    </w:p>
    <w:p>
      <w:pPr>
        <w:pStyle w:val="4"/>
        <w:spacing w:line="360" w:lineRule="auto"/>
        <w:rPr>
          <w:rFonts w:ascii="仿宋" w:hAnsi="仿宋" w:eastAsia="仿宋"/>
          <w:sz w:val="36"/>
          <w:szCs w:val="36"/>
        </w:rPr>
      </w:pPr>
      <w:bookmarkStart w:id="13" w:name="_Toc12849"/>
      <w:bookmarkStart w:id="14" w:name="_Toc70450297"/>
      <w:r>
        <w:rPr>
          <w:rFonts w:hint="eastAsia" w:ascii="仿宋" w:hAnsi="仿宋" w:eastAsia="仿宋"/>
          <w:sz w:val="36"/>
          <w:szCs w:val="36"/>
        </w:rPr>
        <w:t>二、部门单位整体支出管理及使用情况</w:t>
      </w:r>
      <w:bookmarkEnd w:id="13"/>
      <w:bookmarkEnd w:id="14"/>
    </w:p>
    <w:p>
      <w:pPr>
        <w:pStyle w:val="2"/>
        <w:spacing w:line="360" w:lineRule="auto"/>
        <w:rPr>
          <w:rStyle w:val="17"/>
          <w:rFonts w:ascii="仿宋" w:hAnsi="仿宋" w:eastAsia="仿宋"/>
          <w:b/>
          <w:bCs/>
        </w:rPr>
      </w:pPr>
      <w:bookmarkStart w:id="15" w:name="_Toc70450298"/>
      <w:bookmarkStart w:id="16" w:name="_Toc24507"/>
      <w:r>
        <w:rPr>
          <w:rStyle w:val="17"/>
          <w:rFonts w:hint="eastAsia" w:ascii="仿宋" w:hAnsi="仿宋" w:eastAsia="仿宋"/>
          <w:b/>
          <w:bCs/>
        </w:rPr>
        <w:t>（一）预算管理</w:t>
      </w:r>
      <w:bookmarkEnd w:id="15"/>
      <w:bookmarkEnd w:id="16"/>
    </w:p>
    <w:p>
      <w:pPr>
        <w:pStyle w:val="5"/>
        <w:spacing w:line="360" w:lineRule="auto"/>
        <w:ind w:firstLine="562" w:firstLineChars="200"/>
        <w:rPr>
          <w:rStyle w:val="17"/>
          <w:rFonts w:ascii="仿宋" w:hAnsi="仿宋" w:eastAsia="仿宋"/>
          <w:b/>
          <w:bCs/>
        </w:rPr>
      </w:pPr>
      <w:bookmarkStart w:id="17" w:name="_Toc70450299"/>
      <w:r>
        <w:rPr>
          <w:rStyle w:val="17"/>
          <w:rFonts w:ascii="仿宋" w:hAnsi="仿宋" w:eastAsia="仿宋"/>
          <w:b/>
          <w:bCs/>
        </w:rPr>
        <w:t>1</w:t>
      </w:r>
      <w:r>
        <w:rPr>
          <w:rStyle w:val="17"/>
          <w:rFonts w:hint="eastAsia" w:ascii="仿宋" w:hAnsi="仿宋" w:eastAsia="仿宋"/>
          <w:b/>
          <w:bCs/>
        </w:rPr>
        <w:t>、预算编制管理</w:t>
      </w:r>
      <w:bookmarkEnd w:id="17"/>
    </w:p>
    <w:p>
      <w:pPr>
        <w:spacing w:line="360" w:lineRule="auto"/>
        <w:ind w:firstLine="506" w:firstLineChars="181"/>
        <w:rPr>
          <w:rStyle w:val="17"/>
          <w:rFonts w:asciiTheme="minorEastAsia" w:hAnsiTheme="minorEastAsia"/>
          <w:color w:val="FF0000"/>
          <w:spacing w:val="-4"/>
          <w:sz w:val="28"/>
          <w:szCs w:val="28"/>
        </w:rPr>
      </w:pPr>
      <w:r>
        <w:rPr>
          <w:rFonts w:hint="eastAsia" w:ascii="仿宋_GB2312" w:eastAsia="仿宋_GB2312"/>
          <w:sz w:val="28"/>
          <w:szCs w:val="36"/>
        </w:rPr>
        <w:t>我</w:t>
      </w:r>
      <w:r>
        <w:rPr>
          <w:rStyle w:val="17"/>
          <w:rFonts w:hint="eastAsia" w:ascii="仿宋_GB2312" w:hAnsi="楷体" w:eastAsia="仿宋_GB2312"/>
          <w:b w:val="0"/>
          <w:spacing w:val="-4"/>
          <w:sz w:val="28"/>
          <w:szCs w:val="28"/>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严格按照财政部门预算编制与预算调整的工作要求，在预算编制、分配依据充分的条件下，切实做好“先定目标再编预算”，确保预算分配结果合理。同时按照特克斯县财政局要求，部门预算及绩效目标在</w:t>
      </w:r>
      <w:r>
        <w:rPr>
          <w:rFonts w:ascii="仿宋_GB2312" w:eastAsia="仿宋_GB2312"/>
          <w:sz w:val="28"/>
          <w:szCs w:val="36"/>
        </w:rPr>
        <w:t>特克斯县</w:t>
      </w:r>
      <w:r>
        <w:rPr>
          <w:rFonts w:hint="eastAsia" w:ascii="仿宋_GB2312" w:eastAsia="仿宋_GB2312"/>
          <w:sz w:val="28"/>
          <w:szCs w:val="36"/>
        </w:rPr>
        <w:t>人民政府门户网站公开，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7"/>
          <w:rFonts w:ascii="仿宋" w:hAnsi="仿宋" w:eastAsia="仿宋"/>
          <w:b/>
          <w:bCs/>
        </w:rPr>
      </w:pPr>
      <w:bookmarkStart w:id="18" w:name="_Toc70450300"/>
      <w:r>
        <w:rPr>
          <w:rStyle w:val="17"/>
          <w:rFonts w:hint="eastAsia" w:ascii="仿宋" w:hAnsi="仿宋" w:eastAsia="仿宋"/>
          <w:b/>
          <w:bCs/>
        </w:rPr>
        <w:t>2</w:t>
      </w:r>
      <w:r>
        <w:rPr>
          <w:rStyle w:val="17"/>
          <w:rFonts w:ascii="仿宋" w:hAnsi="仿宋" w:eastAsia="仿宋"/>
          <w:b/>
          <w:bCs/>
        </w:rPr>
        <w:t>、预算</w:t>
      </w:r>
      <w:r>
        <w:rPr>
          <w:rStyle w:val="17"/>
          <w:rFonts w:hint="eastAsia" w:ascii="仿宋" w:hAnsi="仿宋" w:eastAsia="仿宋"/>
          <w:b/>
          <w:bCs/>
        </w:rPr>
        <w:t>支出</w:t>
      </w:r>
      <w:r>
        <w:rPr>
          <w:rStyle w:val="17"/>
          <w:rFonts w:ascii="仿宋" w:hAnsi="仿宋" w:eastAsia="仿宋"/>
          <w:b/>
          <w:bCs/>
        </w:rPr>
        <w:t>管理</w:t>
      </w:r>
      <w:bookmarkEnd w:id="18"/>
    </w:p>
    <w:p>
      <w:pPr>
        <w:spacing w:line="360" w:lineRule="auto"/>
        <w:ind w:firstLine="560" w:firstLineChars="200"/>
        <w:rPr>
          <w:rStyle w:val="17"/>
          <w:b w:val="0"/>
          <w:bCs w:val="0"/>
        </w:rPr>
      </w:pPr>
      <w:r>
        <w:rPr>
          <w:rFonts w:hint="eastAsia" w:ascii="仿宋_GB2312" w:eastAsia="仿宋_GB2312"/>
          <w:sz w:val="28"/>
          <w:szCs w:val="36"/>
        </w:rPr>
        <w:t>我</w:t>
      </w:r>
      <w:r>
        <w:rPr>
          <w:rStyle w:val="17"/>
          <w:rFonts w:hint="eastAsia" w:ascii="仿宋_GB2312" w:hAnsi="楷体" w:eastAsia="仿宋_GB2312"/>
          <w:b w:val="0"/>
          <w:spacing w:val="-4"/>
          <w:sz w:val="28"/>
          <w:szCs w:val="28"/>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按照财政要求基本支出分月度申报资金使用计划，由财政部门按照进度每月按期拨付，人员支出按照工资计划发放工资；依照特克斯县文化体育广播</w:t>
      </w:r>
      <w:r>
        <w:rPr>
          <w:rFonts w:hint="eastAsia" w:ascii="仿宋_GB2312" w:eastAsia="仿宋_GB2312"/>
          <w:sz w:val="28"/>
          <w:szCs w:val="36"/>
          <w:highlight w:val="none"/>
        </w:rPr>
        <w:t>电视和旅游局《</w:t>
      </w:r>
      <w:r>
        <w:rPr>
          <w:rFonts w:ascii="仿宋_GB2312" w:eastAsia="仿宋_GB2312"/>
          <w:sz w:val="28"/>
          <w:szCs w:val="36"/>
          <w:highlight w:val="none"/>
        </w:rPr>
        <w:t>预算</w:t>
      </w:r>
      <w:r>
        <w:rPr>
          <w:rFonts w:hint="eastAsia" w:ascii="仿宋_GB2312" w:eastAsia="仿宋_GB2312"/>
          <w:sz w:val="28"/>
          <w:szCs w:val="36"/>
          <w:highlight w:val="none"/>
        </w:rPr>
        <w:t>支出</w:t>
      </w:r>
      <w:r>
        <w:rPr>
          <w:rFonts w:ascii="仿宋_GB2312" w:eastAsia="仿宋_GB2312"/>
          <w:sz w:val="28"/>
          <w:szCs w:val="36"/>
          <w:highlight w:val="none"/>
        </w:rPr>
        <w:t>管</w:t>
      </w:r>
      <w:r>
        <w:rPr>
          <w:rFonts w:hint="eastAsia" w:ascii="仿宋_GB2312" w:eastAsia="仿宋_GB2312"/>
          <w:sz w:val="28"/>
          <w:szCs w:val="36"/>
          <w:highlight w:val="none"/>
        </w:rPr>
        <w:t>》相关规定和特克斯县文化体育广播电视和旅游局《预算法》规定流程，</w:t>
      </w:r>
      <w:r>
        <w:rPr>
          <w:rFonts w:hint="eastAsia" w:ascii="仿宋_GB2312" w:eastAsia="仿宋_GB2312"/>
          <w:sz w:val="28"/>
          <w:szCs w:val="36"/>
        </w:rPr>
        <w:t>资金支出按照我内控体系中设定的流程申报审批进行；项目支出属于政府采购的，按照局特克斯县文化体育广播电视和旅游局《*采购与招标管理办法》组织人员制定采购计划，按照财政局采购部门批复，进行公开招标、邀请招标等方式进行；属于非政府采购的项目，按照“三重一大”制度规定，重大项目支出上党组会研究决定。</w:t>
      </w:r>
    </w:p>
    <w:p>
      <w:pPr>
        <w:pStyle w:val="2"/>
        <w:spacing w:line="360" w:lineRule="auto"/>
        <w:rPr>
          <w:rStyle w:val="17"/>
          <w:b/>
          <w:bCs/>
          <w:sz w:val="28"/>
          <w:szCs w:val="28"/>
        </w:rPr>
      </w:pPr>
      <w:bookmarkStart w:id="19" w:name="_Toc32321"/>
      <w:bookmarkStart w:id="20" w:name="_Toc70450301"/>
      <w:r>
        <w:rPr>
          <w:rStyle w:val="17"/>
          <w:rFonts w:hint="eastAsia"/>
          <w:b/>
          <w:bCs/>
          <w:sz w:val="28"/>
          <w:szCs w:val="28"/>
        </w:rPr>
        <w:t>（二）基本支出管理及使用情况</w:t>
      </w:r>
      <w:bookmarkEnd w:id="19"/>
      <w:bookmarkEnd w:id="20"/>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2021年基本支出预算安排1030.69万元，实际到位1030.69万元,实际支出1030.69万</w:t>
      </w:r>
      <w:r>
        <w:rPr>
          <w:rStyle w:val="17"/>
          <w:rFonts w:hint="eastAsia" w:ascii="仿宋_GB2312" w:hAnsi="楷体" w:eastAsia="仿宋_GB2312"/>
          <w:b w:val="0"/>
          <w:spacing w:val="-4"/>
          <w:sz w:val="28"/>
          <w:szCs w:val="28"/>
          <w:highlight w:val="none"/>
        </w:rPr>
        <w:t>元，占总支出的7.60％，其中：工资福利支出944.89万元、商品和服务支出40.90万元、对个人和家庭的补助44.90万元、</w:t>
      </w:r>
      <w:r>
        <w:rPr>
          <w:rStyle w:val="17"/>
          <w:rFonts w:hint="eastAsia" w:ascii="仿宋_GB2312" w:hAnsi="楷体" w:eastAsia="仿宋_GB2312"/>
          <w:b w:val="0"/>
          <w:spacing w:val="-4"/>
          <w:sz w:val="28"/>
          <w:szCs w:val="28"/>
        </w:rPr>
        <w:t>主要用于抚恤金和生活补助。资本性支出0万元。</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2021年基本支出比上年</w:t>
      </w:r>
      <w:r>
        <w:rPr>
          <w:rFonts w:ascii="仿宋_GB2312" w:hAnsi="仿宋_GB2312" w:eastAsia="仿宋_GB2312" w:cs="仿宋_GB2312"/>
          <w:sz w:val="28"/>
          <w:szCs w:val="28"/>
        </w:rPr>
        <w:t>1019.11</w:t>
      </w:r>
      <w:r>
        <w:rPr>
          <w:rStyle w:val="17"/>
          <w:rFonts w:hint="eastAsia" w:ascii="仿宋_GB2312" w:hAnsi="楷体" w:eastAsia="仿宋_GB2312"/>
          <w:b w:val="0"/>
          <w:spacing w:val="-4"/>
          <w:sz w:val="28"/>
          <w:szCs w:val="28"/>
        </w:rPr>
        <w:t>万元,增加11.58万元，上升24.91</w:t>
      </w:r>
      <w:r>
        <w:rPr>
          <w:rStyle w:val="17"/>
          <w:rFonts w:ascii="仿宋_GB2312" w:hAnsi="宋体" w:eastAsia="仿宋_GB2312"/>
          <w:b w:val="0"/>
          <w:bCs w:val="0"/>
          <w:spacing w:val="-4"/>
          <w:sz w:val="28"/>
          <w:szCs w:val="28"/>
        </w:rPr>
        <w:t>%</w:t>
      </w:r>
      <w:r>
        <w:rPr>
          <w:rStyle w:val="17"/>
          <w:rFonts w:hint="eastAsia" w:ascii="仿宋_GB2312" w:hAnsi="楷体" w:eastAsia="仿宋_GB2312"/>
          <w:b w:val="0"/>
          <w:spacing w:val="-4"/>
          <w:sz w:val="28"/>
          <w:szCs w:val="28"/>
        </w:rPr>
        <w:t>，支出上升的主要原因是人员工资社保基数增加，人员经费增加。</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年一般公共预算“三公”经费数为1.60万元，其中：因公出国（境）费0万元，公务用车购置0万元，公务用车运行费1.60万元，公务接待费0万元。</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年一般公共预算“三公”经费比上年增加0万元，其中：因公出国（境）费增加0万元，主要原因是未安排预算；公务用车购置费为0，主要原因是未安排预算</w:t>
      </w:r>
      <w:r>
        <w:rPr>
          <w:rStyle w:val="17"/>
          <w:rFonts w:hint="eastAsia" w:ascii="仿宋_GB2312" w:hAnsi="楷体" w:eastAsia="仿宋_GB2312"/>
          <w:b w:val="0"/>
          <w:spacing w:val="-4"/>
          <w:sz w:val="28"/>
          <w:szCs w:val="28"/>
          <w:highlight w:val="none"/>
        </w:rPr>
        <w:t>。公务用车运行费增加0万元，主要原因是与上年持平 ；公务接待费增</w:t>
      </w:r>
      <w:r>
        <w:rPr>
          <w:rStyle w:val="17"/>
          <w:rFonts w:hint="eastAsia" w:ascii="仿宋_GB2312" w:hAnsi="楷体" w:eastAsia="仿宋_GB2312"/>
          <w:b w:val="0"/>
          <w:spacing w:val="-4"/>
          <w:sz w:val="28"/>
          <w:szCs w:val="28"/>
        </w:rPr>
        <w:t>加0万元，主要原因是未安排预算。</w:t>
      </w:r>
    </w:p>
    <w:p>
      <w:pPr>
        <w:pStyle w:val="2"/>
        <w:spacing w:line="360" w:lineRule="auto"/>
        <w:rPr>
          <w:rStyle w:val="17"/>
          <w:rFonts w:ascii="仿宋" w:hAnsi="仿宋" w:eastAsia="仿宋"/>
          <w:b/>
          <w:bCs/>
        </w:rPr>
      </w:pPr>
      <w:bookmarkStart w:id="21" w:name="_Toc70450302"/>
      <w:bookmarkStart w:id="22" w:name="_Toc21041"/>
      <w:r>
        <w:rPr>
          <w:rStyle w:val="17"/>
          <w:rFonts w:hint="eastAsia" w:ascii="仿宋" w:hAnsi="仿宋" w:eastAsia="仿宋"/>
          <w:b/>
          <w:bCs/>
        </w:rPr>
        <w:t>（三）专项支出管理及使用情况</w:t>
      </w:r>
      <w:bookmarkEnd w:id="21"/>
      <w:bookmarkEnd w:id="22"/>
    </w:p>
    <w:p>
      <w:pPr>
        <w:pStyle w:val="5"/>
        <w:spacing w:line="360" w:lineRule="auto"/>
        <w:ind w:firstLine="560" w:firstLineChars="200"/>
        <w:rPr>
          <w:rStyle w:val="17"/>
          <w:rFonts w:ascii="仿宋" w:hAnsi="仿宋" w:eastAsia="仿宋"/>
          <w:b/>
          <w:bCs/>
        </w:rPr>
      </w:pPr>
      <w:bookmarkStart w:id="23" w:name="_Toc70450303"/>
      <w:bookmarkStart w:id="24" w:name="_Toc70450305"/>
      <w:r>
        <w:rPr>
          <w:rStyle w:val="17"/>
          <w:rFonts w:hint="eastAsia" w:ascii="仿宋" w:hAnsi="仿宋" w:eastAsia="仿宋"/>
          <w:b w:val="0"/>
          <w:bCs w:val="0"/>
        </w:rPr>
        <w:t>1、专项资金安排落实、总投入等情况分析</w:t>
      </w:r>
      <w:bookmarkEnd w:id="23"/>
    </w:p>
    <w:p>
      <w:pPr>
        <w:spacing w:line="360" w:lineRule="auto"/>
        <w:ind w:firstLine="492" w:firstLineChars="181"/>
        <w:rPr>
          <w:rStyle w:val="17"/>
          <w:rFonts w:ascii="仿宋_GB2312" w:hAnsi="楷体" w:eastAsia="仿宋_GB2312"/>
          <w:b w:val="0"/>
          <w:spacing w:val="-4"/>
          <w:sz w:val="28"/>
          <w:szCs w:val="28"/>
          <w:highlight w:val="none"/>
        </w:rPr>
      </w:pPr>
      <w:r>
        <w:rPr>
          <w:rStyle w:val="17"/>
          <w:rFonts w:ascii="仿宋_GB2312" w:hAnsi="楷体" w:eastAsia="仿宋_GB2312"/>
          <w:b w:val="0"/>
          <w:spacing w:val="-4"/>
          <w:sz w:val="28"/>
          <w:szCs w:val="28"/>
          <w:highlight w:val="none"/>
        </w:rPr>
        <w:t>2021</w:t>
      </w:r>
      <w:r>
        <w:rPr>
          <w:rStyle w:val="17"/>
          <w:rFonts w:hint="eastAsia" w:ascii="仿宋_GB2312" w:hAnsi="楷体" w:eastAsia="仿宋_GB2312"/>
          <w:b w:val="0"/>
          <w:spacing w:val="-4"/>
          <w:sz w:val="28"/>
          <w:szCs w:val="28"/>
          <w:highlight w:val="none"/>
        </w:rPr>
        <w:t>年预算安排专项资金12535.02万元，实际到位12535.02万元,</w:t>
      </w:r>
      <w:r>
        <w:rPr>
          <w:rStyle w:val="17"/>
          <w:rFonts w:hint="eastAsia" w:ascii="仿宋_GB2312" w:hAnsi="楷体" w:eastAsia="仿宋_GB2312"/>
          <w:spacing w:val="-4"/>
          <w:sz w:val="28"/>
          <w:szCs w:val="28"/>
          <w:highlight w:val="none"/>
        </w:rPr>
        <w:t xml:space="preserve"> </w:t>
      </w:r>
      <w:r>
        <w:rPr>
          <w:rStyle w:val="17"/>
          <w:rFonts w:hint="eastAsia" w:ascii="仿宋_GB2312" w:hAnsi="楷体" w:eastAsia="仿宋_GB2312"/>
          <w:b w:val="0"/>
          <w:spacing w:val="-4"/>
          <w:sz w:val="28"/>
          <w:szCs w:val="28"/>
          <w:highlight w:val="none"/>
        </w:rPr>
        <w:t>到位率100％,其中:中央转移支付项目资金12187万元，自治区资金3</w:t>
      </w:r>
      <w:r>
        <w:rPr>
          <w:rStyle w:val="17"/>
          <w:rFonts w:hint="eastAsia" w:ascii="仿宋_GB2312" w:hAnsi="楷体" w:eastAsia="仿宋_GB2312"/>
          <w:b w:val="0"/>
          <w:spacing w:val="-4"/>
          <w:sz w:val="28"/>
          <w:szCs w:val="28"/>
          <w:highlight w:val="none"/>
          <w:lang w:val="en-US" w:eastAsia="zh-CN"/>
        </w:rPr>
        <w:t>48.02</w:t>
      </w:r>
      <w:r>
        <w:rPr>
          <w:rStyle w:val="17"/>
          <w:rFonts w:hint="eastAsia" w:ascii="仿宋_GB2312" w:hAnsi="楷体" w:eastAsia="仿宋_GB2312"/>
          <w:b w:val="0"/>
          <w:spacing w:val="-4"/>
          <w:sz w:val="28"/>
          <w:szCs w:val="28"/>
          <w:highlight w:val="none"/>
        </w:rPr>
        <w:t>万元，本级安排0万元。</w:t>
      </w:r>
    </w:p>
    <w:p>
      <w:pPr>
        <w:pStyle w:val="5"/>
        <w:spacing w:line="360" w:lineRule="auto"/>
        <w:ind w:firstLine="560" w:firstLineChars="200"/>
        <w:rPr>
          <w:rStyle w:val="17"/>
          <w:rFonts w:ascii="仿宋" w:hAnsi="仿宋" w:eastAsia="仿宋"/>
          <w:b/>
          <w:bCs/>
        </w:rPr>
      </w:pPr>
      <w:bookmarkStart w:id="25" w:name="_Toc70450304"/>
      <w:r>
        <w:rPr>
          <w:rStyle w:val="17"/>
          <w:rFonts w:hint="eastAsia" w:ascii="仿宋" w:hAnsi="仿宋" w:eastAsia="仿宋"/>
          <w:b w:val="0"/>
          <w:bCs w:val="0"/>
        </w:rPr>
        <w:t>2、专项资金实际使用情况</w:t>
      </w:r>
      <w:bookmarkEnd w:id="25"/>
    </w:p>
    <w:p>
      <w:pPr>
        <w:spacing w:line="360" w:lineRule="auto"/>
        <w:ind w:firstLine="492" w:firstLineChars="181"/>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2021年专项资金支出12535.02万元，占总支出的92.40%，其中2021年专项项目支出比上年3470.37万元增加9064.65万元，上升261.20%。支出上升的主要原因是：增加了特克斯县全域旅游基础设施建设项目；购置健身器材。</w:t>
      </w:r>
    </w:p>
    <w:p>
      <w:pPr>
        <w:pStyle w:val="5"/>
        <w:spacing w:line="360" w:lineRule="auto"/>
        <w:ind w:firstLine="562" w:firstLineChars="200"/>
        <w:rPr>
          <w:rStyle w:val="17"/>
          <w:rFonts w:ascii="仿宋" w:hAnsi="仿宋" w:eastAsia="仿宋"/>
          <w:b/>
          <w:bCs/>
        </w:rPr>
      </w:pPr>
      <w:r>
        <w:rPr>
          <w:rStyle w:val="17"/>
          <w:rFonts w:hint="eastAsia" w:ascii="仿宋" w:hAnsi="仿宋" w:eastAsia="仿宋"/>
          <w:b/>
          <w:bCs/>
        </w:rPr>
        <w:t>3、专项资金管理情况</w:t>
      </w:r>
      <w:bookmarkEnd w:id="24"/>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（1）制定了《特克斯县</w:t>
      </w:r>
      <w:r>
        <w:rPr>
          <w:rFonts w:hint="eastAsia" w:ascii="仿宋_GB2312" w:eastAsia="仿宋_GB2312"/>
          <w:sz w:val="28"/>
          <w:szCs w:val="36"/>
          <w:highlight w:val="none"/>
        </w:rPr>
        <w:t>文化体育广播电视和旅游局</w:t>
      </w:r>
      <w:r>
        <w:rPr>
          <w:rStyle w:val="17"/>
          <w:rFonts w:hint="eastAsia" w:ascii="仿宋_GB2312" w:hAnsi="楷体" w:eastAsia="仿宋_GB2312"/>
          <w:b w:val="0"/>
          <w:spacing w:val="-4"/>
          <w:sz w:val="28"/>
          <w:szCs w:val="28"/>
          <w:highlight w:val="none"/>
        </w:rPr>
        <w:t>收入支出财务制度》专项资金管理办法，各项资金使用审批流程均按规定办理。涉及“三重一大”内容，严格按照规定提请局党组会审议决定，包括项目资金分配、重大项目确定、大额资金支付等。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w:t>
      </w:r>
      <w:r>
        <w:rPr>
          <w:rStyle w:val="17"/>
          <w:rFonts w:ascii="仿宋_GB2312" w:hAnsi="楷体" w:eastAsia="仿宋_GB2312"/>
          <w:b w:val="0"/>
          <w:spacing w:val="-4"/>
          <w:sz w:val="28"/>
          <w:szCs w:val="28"/>
          <w:highlight w:val="none"/>
        </w:rPr>
        <w:t>2</w:t>
      </w:r>
      <w:r>
        <w:rPr>
          <w:rStyle w:val="17"/>
          <w:rFonts w:hint="eastAsia" w:ascii="仿宋_GB2312" w:hAnsi="楷体" w:eastAsia="仿宋_GB2312"/>
          <w:b w:val="0"/>
          <w:spacing w:val="-4"/>
          <w:sz w:val="28"/>
          <w:szCs w:val="28"/>
          <w:highlight w:val="none"/>
        </w:rPr>
        <w:t>）建立特克斯县</w:t>
      </w:r>
      <w:r>
        <w:rPr>
          <w:rFonts w:hint="eastAsia" w:ascii="仿宋_GB2312" w:eastAsia="仿宋_GB2312"/>
          <w:sz w:val="28"/>
          <w:szCs w:val="36"/>
          <w:highlight w:val="none"/>
        </w:rPr>
        <w:t>文化体育广播电视和旅游局项目建设</w:t>
      </w:r>
      <w:r>
        <w:rPr>
          <w:rStyle w:val="17"/>
          <w:rFonts w:hint="eastAsia" w:ascii="仿宋_GB2312" w:hAnsi="楷体" w:eastAsia="仿宋_GB2312"/>
          <w:b w:val="0"/>
          <w:spacing w:val="-4"/>
          <w:sz w:val="28"/>
          <w:szCs w:val="28"/>
          <w:highlight w:val="none"/>
        </w:rPr>
        <w:t>专项资金专帐，做到有据可依，有据可查。</w:t>
      </w:r>
    </w:p>
    <w:p>
      <w:pPr>
        <w:spacing w:line="360" w:lineRule="auto"/>
        <w:ind w:firstLine="492" w:firstLineChars="181"/>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（3）制订了特克斯县</w:t>
      </w:r>
      <w:r>
        <w:rPr>
          <w:rFonts w:hint="eastAsia" w:ascii="仿宋_GB2312" w:eastAsia="仿宋_GB2312"/>
          <w:sz w:val="28"/>
          <w:szCs w:val="36"/>
          <w:highlight w:val="none"/>
        </w:rPr>
        <w:t>文化体育广播电视和旅游局</w:t>
      </w:r>
      <w:r>
        <w:rPr>
          <w:rStyle w:val="17"/>
          <w:rFonts w:hint="eastAsia" w:ascii="仿宋_GB2312" w:hAnsi="楷体" w:eastAsia="仿宋_GB2312"/>
          <w:b w:val="0"/>
          <w:spacing w:val="-4"/>
          <w:sz w:val="28"/>
          <w:szCs w:val="28"/>
          <w:highlight w:val="none"/>
        </w:rPr>
        <w:t>项目实施方案，确保项目按计划进行。</w:t>
      </w:r>
    </w:p>
    <w:p>
      <w:pPr>
        <w:spacing w:line="360" w:lineRule="auto"/>
        <w:ind w:firstLine="492" w:firstLineChars="181"/>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（4）认真组织、项目验收，确保项目完工。</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highlight w:val="none"/>
        </w:rPr>
        <w:t>专项资金涉及政府采购项目的，按照新疆维吾尔自治区财政</w:t>
      </w:r>
      <w:r>
        <w:rPr>
          <w:rStyle w:val="17"/>
          <w:rFonts w:hint="eastAsia" w:ascii="仿宋_GB2312" w:hAnsi="楷体" w:eastAsia="仿宋_GB2312"/>
          <w:b w:val="0"/>
          <w:spacing w:val="-4"/>
          <w:sz w:val="28"/>
          <w:szCs w:val="28"/>
        </w:rPr>
        <w:t>厅</w:t>
      </w:r>
      <w:r>
        <w:rPr>
          <w:rFonts w:hint="eastAsia" w:ascii="仿宋_GB2312" w:eastAsia="仿宋_GB2312"/>
          <w:sz w:val="28"/>
          <w:szCs w:val="36"/>
        </w:rPr>
        <w:t>《新疆维吾尔自治区2021-2022年度政府采购集中采购目录及标准》</w:t>
      </w:r>
      <w:r>
        <w:rPr>
          <w:rStyle w:val="17"/>
          <w:rFonts w:hint="eastAsia" w:ascii="仿宋_GB2312" w:hAnsi="楷体" w:eastAsia="仿宋_GB2312"/>
          <w:b w:val="0"/>
          <w:spacing w:val="-4"/>
          <w:sz w:val="28"/>
          <w:szCs w:val="28"/>
        </w:rPr>
        <w:t>组织人员制定采购计划，按照财政局采购部门批复，进行公开招标、邀请招标等方式进行。</w:t>
      </w:r>
    </w:p>
    <w:p>
      <w:pPr>
        <w:spacing w:line="360" w:lineRule="auto"/>
        <w:ind w:firstLine="492" w:firstLineChars="181"/>
        <w:rPr>
          <w:rStyle w:val="17"/>
          <w:rFonts w:ascii="仿宋_GB2312" w:hAnsi="楷体" w:eastAsia="仿宋_GB2312"/>
          <w:b w:val="0"/>
          <w:spacing w:val="-4"/>
          <w:sz w:val="28"/>
          <w:szCs w:val="28"/>
        </w:rPr>
      </w:pPr>
    </w:p>
    <w:p>
      <w:pPr>
        <w:pStyle w:val="4"/>
        <w:spacing w:line="360" w:lineRule="auto"/>
        <w:rPr>
          <w:rFonts w:ascii="仿宋" w:hAnsi="仿宋" w:eastAsia="仿宋"/>
          <w:sz w:val="36"/>
          <w:szCs w:val="36"/>
          <w:highlight w:val="none"/>
        </w:rPr>
      </w:pPr>
      <w:bookmarkStart w:id="26" w:name="_Toc6408"/>
      <w:bookmarkStart w:id="27" w:name="_Toc70450306"/>
      <w:r>
        <w:rPr>
          <w:rFonts w:hint="eastAsia" w:ascii="仿宋" w:hAnsi="仿宋" w:eastAsia="仿宋"/>
          <w:sz w:val="36"/>
          <w:szCs w:val="36"/>
          <w:highlight w:val="none"/>
        </w:rPr>
        <w:t>三、部门单位专项组织实施情况</w:t>
      </w:r>
      <w:bookmarkEnd w:id="26"/>
      <w:bookmarkEnd w:id="27"/>
    </w:p>
    <w:p>
      <w:pPr>
        <w:pStyle w:val="5"/>
        <w:numPr>
          <w:ilvl w:val="0"/>
          <w:numId w:val="1"/>
        </w:numPr>
        <w:spacing w:line="360" w:lineRule="auto"/>
        <w:rPr>
          <w:rStyle w:val="17"/>
          <w:rFonts w:ascii="仿宋" w:hAnsi="仿宋" w:eastAsia="仿宋"/>
          <w:b/>
          <w:bCs/>
        </w:rPr>
      </w:pPr>
      <w:bookmarkStart w:id="28" w:name="_Toc70450308"/>
      <w:r>
        <w:rPr>
          <w:rStyle w:val="17"/>
          <w:rFonts w:hint="eastAsia" w:ascii="仿宋" w:hAnsi="仿宋" w:eastAsia="仿宋"/>
          <w:b/>
          <w:bCs/>
        </w:rPr>
        <w:t>专项组织情况分析</w:t>
      </w:r>
      <w:bookmarkEnd w:id="28"/>
    </w:p>
    <w:p>
      <w:pPr>
        <w:snapToGrid w:val="0"/>
        <w:spacing w:line="360" w:lineRule="auto"/>
        <w:ind w:firstLine="544" w:firstLineChars="200"/>
        <w:rPr>
          <w:rStyle w:val="17"/>
          <w:rFonts w:ascii="仿宋_GB2312" w:hAnsi="楷体" w:eastAsia="仿宋_GB2312"/>
          <w:b w:val="0"/>
          <w:bCs w:val="0"/>
          <w:color w:val="FF0000"/>
          <w:spacing w:val="-4"/>
          <w:sz w:val="28"/>
          <w:szCs w:val="28"/>
        </w:rPr>
      </w:pPr>
      <w:r>
        <w:rPr>
          <w:rStyle w:val="17"/>
          <w:rFonts w:hint="eastAsia" w:ascii="仿宋_GB2312" w:hAnsi="楷体" w:eastAsia="仿宋_GB2312"/>
          <w:b w:val="0"/>
          <w:bCs w:val="0"/>
          <w:spacing w:val="-4"/>
          <w:sz w:val="28"/>
          <w:szCs w:val="28"/>
        </w:rPr>
        <w:t>1、前期准备</w:t>
      </w:r>
    </w:p>
    <w:p>
      <w:pPr>
        <w:snapToGrid w:val="0"/>
        <w:spacing w:line="360" w:lineRule="auto"/>
        <w:ind w:firstLine="816" w:firstLineChars="300"/>
        <w:rPr>
          <w:rStyle w:val="17"/>
          <w:rFonts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年初我单位下发的</w:t>
      </w:r>
      <w:r>
        <w:rPr>
          <w:rStyle w:val="17"/>
          <w:rFonts w:hint="eastAsia" w:ascii="仿宋_GB2312" w:hAnsi="楷体" w:eastAsia="仿宋_GB2312"/>
          <w:b w:val="0"/>
          <w:color w:val="auto"/>
          <w:spacing w:val="-4"/>
          <w:sz w:val="28"/>
          <w:szCs w:val="28"/>
        </w:rPr>
        <w:t>特克斯县</w:t>
      </w:r>
      <w:r>
        <w:rPr>
          <w:rFonts w:hint="eastAsia" w:ascii="仿宋_GB2312" w:eastAsia="仿宋_GB2312"/>
          <w:color w:val="auto"/>
          <w:sz w:val="28"/>
          <w:szCs w:val="36"/>
        </w:rPr>
        <w:t>文化体育广播电视和旅游局</w:t>
      </w:r>
      <w:r>
        <w:rPr>
          <w:rStyle w:val="17"/>
          <w:rFonts w:hint="eastAsia" w:ascii="仿宋_GB2312" w:hAnsi="楷体" w:eastAsia="仿宋_GB2312"/>
          <w:b w:val="0"/>
          <w:bCs w:val="0"/>
          <w:color w:val="auto"/>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7"/>
          <w:rFonts w:ascii="仿宋_GB2312" w:hAnsi="楷体" w:eastAsia="仿宋_GB2312"/>
          <w:b w:val="0"/>
          <w:bCs w:val="0"/>
          <w:color w:val="auto"/>
          <w:spacing w:val="-4"/>
          <w:sz w:val="28"/>
          <w:szCs w:val="28"/>
        </w:rPr>
        <w:t>1</w:t>
      </w:r>
      <w:r>
        <w:rPr>
          <w:rStyle w:val="17"/>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2、组织实施</w:t>
      </w:r>
    </w:p>
    <w:p>
      <w:pPr>
        <w:snapToGrid w:val="0"/>
        <w:spacing w:line="360" w:lineRule="auto"/>
        <w:ind w:firstLine="816" w:firstLineChars="300"/>
        <w:rPr>
          <w:rStyle w:val="17"/>
          <w:rFonts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w:t>
      </w:r>
    </w:p>
    <w:p>
      <w:pPr>
        <w:snapToGrid w:val="0"/>
        <w:spacing w:line="360" w:lineRule="auto"/>
        <w:ind w:firstLine="544" w:firstLineChars="200"/>
        <w:rPr>
          <w:rStyle w:val="17"/>
          <w:rFonts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7"/>
          <w:rFonts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7"/>
          <w:rFonts w:ascii="宋体" w:hAnsi="宋体" w:eastAsia="宋体"/>
          <w:color w:val="FF0000"/>
          <w:spacing w:val="-4"/>
          <w:sz w:val="28"/>
          <w:szCs w:val="28"/>
        </w:rPr>
      </w:pPr>
      <w:r>
        <w:rPr>
          <w:rStyle w:val="17"/>
          <w:rFonts w:hint="eastAsia" w:ascii="仿宋_GB2312" w:hAnsi="楷体" w:eastAsia="仿宋_GB2312"/>
          <w:b w:val="0"/>
          <w:bCs w:val="0"/>
          <w:spacing w:val="-4"/>
          <w:sz w:val="28"/>
          <w:szCs w:val="28"/>
        </w:rPr>
        <w:t>截止12月31日，该专项均按照时间计划保质、保量完成。</w:t>
      </w:r>
    </w:p>
    <w:p>
      <w:pPr>
        <w:pStyle w:val="5"/>
        <w:numPr>
          <w:ilvl w:val="0"/>
          <w:numId w:val="1"/>
        </w:numPr>
        <w:spacing w:line="360" w:lineRule="auto"/>
        <w:rPr>
          <w:rStyle w:val="17"/>
          <w:rFonts w:ascii="仿宋" w:hAnsi="仿宋" w:eastAsia="仿宋"/>
          <w:b/>
          <w:bCs/>
        </w:rPr>
      </w:pPr>
      <w:bookmarkStart w:id="29" w:name="_Toc70450309"/>
      <w:r>
        <w:rPr>
          <w:rStyle w:val="17"/>
          <w:rFonts w:hint="eastAsia" w:ascii="仿宋" w:hAnsi="仿宋" w:eastAsia="仿宋"/>
          <w:b/>
          <w:bCs/>
        </w:rPr>
        <w:t>专项管理情况分析</w:t>
      </w:r>
      <w:bookmarkEnd w:id="29"/>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1、资金到位及使用情况</w:t>
      </w:r>
    </w:p>
    <w:p>
      <w:pPr>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楷体" w:eastAsia="仿宋_GB2312"/>
          <w:b w:val="0"/>
          <w:spacing w:val="-4"/>
          <w:sz w:val="28"/>
          <w:szCs w:val="28"/>
        </w:rPr>
        <w:t>2</w:t>
      </w:r>
      <w:r>
        <w:rPr>
          <w:rStyle w:val="17"/>
          <w:rFonts w:ascii="仿宋_GB2312" w:hAnsi="楷体" w:eastAsia="仿宋_GB2312"/>
          <w:b w:val="0"/>
          <w:spacing w:val="-4"/>
          <w:sz w:val="28"/>
          <w:szCs w:val="28"/>
        </w:rPr>
        <w:t>021</w:t>
      </w:r>
      <w:r>
        <w:rPr>
          <w:rStyle w:val="17"/>
          <w:rFonts w:hint="eastAsia" w:ascii="仿宋_GB2312" w:hAnsi="楷体" w:eastAsia="仿宋_GB2312"/>
          <w:b w:val="0"/>
          <w:spacing w:val="-4"/>
          <w:sz w:val="28"/>
          <w:szCs w:val="28"/>
        </w:rPr>
        <w:t>年涉及专项资金12535.02万元，实际到位12535.02万元，资金到位率100%。截止到</w:t>
      </w: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年1</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月31日执行12535.02万元，执行率100%。其中：20</w:t>
      </w:r>
      <w:r>
        <w:rPr>
          <w:rStyle w:val="17"/>
          <w:rFonts w:ascii="仿宋_GB2312" w:hAnsi="楷体" w:eastAsia="仿宋_GB2312"/>
          <w:b w:val="0"/>
          <w:spacing w:val="-4"/>
          <w:sz w:val="28"/>
          <w:szCs w:val="28"/>
        </w:rPr>
        <w:t>21</w:t>
      </w:r>
      <w:r>
        <w:rPr>
          <w:rStyle w:val="17"/>
          <w:rFonts w:hint="eastAsia" w:ascii="仿宋_GB2312" w:hAnsi="楷体" w:eastAsia="仿宋_GB2312"/>
          <w:b w:val="0"/>
          <w:spacing w:val="-4"/>
          <w:sz w:val="28"/>
          <w:szCs w:val="28"/>
        </w:rPr>
        <w:t>年结转专项资金0万元，实际执行0万元，执行率为0%；202</w:t>
      </w:r>
      <w:r>
        <w:rPr>
          <w:rStyle w:val="17"/>
          <w:rFonts w:ascii="仿宋_GB2312" w:hAnsi="楷体" w:eastAsia="仿宋_GB2312"/>
          <w:b w:val="0"/>
          <w:spacing w:val="-4"/>
          <w:sz w:val="28"/>
          <w:szCs w:val="28"/>
        </w:rPr>
        <w:t>1</w:t>
      </w:r>
      <w:r>
        <w:rPr>
          <w:rStyle w:val="17"/>
          <w:rFonts w:hint="eastAsia" w:ascii="仿宋_GB2312" w:hAnsi="楷体" w:eastAsia="仿宋_GB2312"/>
          <w:b w:val="0"/>
          <w:spacing w:val="-4"/>
          <w:sz w:val="28"/>
          <w:szCs w:val="28"/>
        </w:rPr>
        <w:t>年新增专项资金12535.02万元，实际执行12535.02万元，执行率为100%。</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2、资金管理情况</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color w:val="auto"/>
          <w:spacing w:val="-4"/>
          <w:sz w:val="28"/>
          <w:szCs w:val="28"/>
        </w:rPr>
        <w:t>我单位严格执行《专项资金管理办法》文件精神要求，加强对专项资金的绩效管理，确保专款专用，提高专项资金使用效益。遵守相关法律法规，严肃财经纪律，自觉接受财政、审计、监察监督检查。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1"/>
        </w:numPr>
        <w:spacing w:line="360" w:lineRule="auto"/>
        <w:rPr>
          <w:rStyle w:val="17"/>
          <w:rFonts w:ascii="仿宋" w:hAnsi="仿宋" w:eastAsia="仿宋"/>
          <w:b/>
          <w:bCs/>
        </w:rPr>
      </w:pPr>
      <w:r>
        <w:rPr>
          <w:rStyle w:val="17"/>
          <w:rFonts w:hint="eastAsia" w:ascii="仿宋" w:hAnsi="仿宋" w:eastAsia="仿宋"/>
          <w:b/>
          <w:bCs/>
        </w:rPr>
        <w:t>项目实施情况分析</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w:t>
      </w:r>
      <w:r>
        <w:rPr>
          <w:rStyle w:val="17"/>
          <w:rFonts w:ascii="仿宋_GB2312" w:hAnsi="楷体" w:eastAsia="仿宋_GB2312"/>
          <w:b w:val="0"/>
          <w:spacing w:val="-4"/>
          <w:sz w:val="28"/>
          <w:szCs w:val="28"/>
        </w:rPr>
        <w:t>、组织情况</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spacing w:val="-4"/>
          <w:sz w:val="28"/>
          <w:szCs w:val="28"/>
        </w:rPr>
        <w:t>特克斯县</w:t>
      </w:r>
      <w:r>
        <w:rPr>
          <w:rFonts w:hint="eastAsia" w:ascii="仿宋_GB2312" w:eastAsia="仿宋_GB2312"/>
          <w:sz w:val="28"/>
          <w:szCs w:val="36"/>
        </w:rPr>
        <w:t>文化体育广播电视和旅游局</w:t>
      </w:r>
      <w:r>
        <w:rPr>
          <w:rStyle w:val="17"/>
          <w:rFonts w:hint="eastAsia" w:asciiTheme="minorEastAsia" w:hAnsiTheme="minorEastAsia"/>
          <w:bCs w:val="0"/>
          <w:color w:val="auto"/>
          <w:spacing w:val="-4"/>
          <w:sz w:val="28"/>
          <w:szCs w:val="28"/>
        </w:rPr>
        <w:t>，</w:t>
      </w:r>
      <w:r>
        <w:rPr>
          <w:rStyle w:val="17"/>
          <w:rFonts w:hint="eastAsia" w:ascii="仿宋_GB2312" w:hAnsi="楷体" w:eastAsia="仿宋_GB2312"/>
          <w:b w:val="0"/>
          <w:color w:val="auto"/>
          <w:spacing w:val="-4"/>
          <w:sz w:val="28"/>
          <w:szCs w:val="28"/>
        </w:rPr>
        <w:t>根据202</w:t>
      </w:r>
      <w:r>
        <w:rPr>
          <w:rStyle w:val="17"/>
          <w:rFonts w:ascii="仿宋_GB2312" w:hAnsi="楷体" w:eastAsia="仿宋_GB2312"/>
          <w:b w:val="0"/>
          <w:color w:val="auto"/>
          <w:spacing w:val="-4"/>
          <w:sz w:val="28"/>
          <w:szCs w:val="28"/>
        </w:rPr>
        <w:t>1</w:t>
      </w:r>
      <w:r>
        <w:rPr>
          <w:rStyle w:val="17"/>
          <w:rFonts w:hint="eastAsia" w:ascii="仿宋_GB2312" w:hAnsi="楷体" w:eastAsia="仿宋_GB2312"/>
          <w:b w:val="0"/>
          <w:color w:val="auto"/>
          <w:spacing w:val="-4"/>
          <w:sz w:val="28"/>
          <w:szCs w:val="28"/>
        </w:rPr>
        <w:t>年8个项目的绩效目标及工作内容，将其细化分工至本单位3个科室，加强组织领导，明确分工，各司其职，抓好工作目标任务的落实完成，同时年中要求各科室按照年初预算对本科室绩效工作进行自查自评，并报上半年工作情况总结，</w:t>
      </w:r>
      <w:r>
        <w:rPr>
          <w:rStyle w:val="17"/>
          <w:rFonts w:ascii="仿宋_GB2312" w:hAnsi="楷体" w:eastAsia="仿宋_GB2312"/>
          <w:b w:val="0"/>
          <w:color w:val="auto"/>
          <w:spacing w:val="-4"/>
          <w:sz w:val="28"/>
          <w:szCs w:val="28"/>
        </w:rPr>
        <w:t>5</w:t>
      </w:r>
      <w:r>
        <w:rPr>
          <w:rStyle w:val="17"/>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w:t>
      </w:r>
      <w:r>
        <w:rPr>
          <w:rStyle w:val="17"/>
          <w:rFonts w:ascii="仿宋_GB2312" w:hAnsi="楷体" w:eastAsia="仿宋_GB2312"/>
          <w:b w:val="0"/>
          <w:spacing w:val="-4"/>
          <w:sz w:val="28"/>
          <w:szCs w:val="28"/>
        </w:rPr>
        <w:t>、管理情况</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spacing w:val="-4"/>
          <w:sz w:val="28"/>
          <w:szCs w:val="28"/>
        </w:rPr>
        <w:t>特克斯县</w:t>
      </w:r>
      <w:r>
        <w:rPr>
          <w:rFonts w:hint="eastAsia" w:ascii="仿宋_GB2312" w:eastAsia="仿宋_GB2312"/>
          <w:sz w:val="28"/>
          <w:szCs w:val="36"/>
        </w:rPr>
        <w:t>文化体育广播电视和旅游局</w:t>
      </w:r>
      <w:r>
        <w:rPr>
          <w:rStyle w:val="17"/>
          <w:rFonts w:hint="eastAsia" w:ascii="仿宋_GB2312" w:hAnsi="楷体" w:eastAsia="仿宋_GB2312"/>
          <w:b w:val="0"/>
          <w:color w:val="auto"/>
          <w:spacing w:val="-4"/>
          <w:sz w:val="28"/>
          <w:szCs w:val="28"/>
        </w:rPr>
        <w:t>，实施的8个项目，由相关业务科室指派专人进行全过程跟踪管理，科室负责人统筹推进项目实施，单位领导不定期对项目进度进行调度，并对项目质量进行控制。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w:t>
      </w:r>
      <w:r>
        <w:rPr>
          <w:rStyle w:val="17"/>
          <w:rFonts w:ascii="仿宋_GB2312" w:hAnsi="楷体" w:eastAsia="仿宋_GB2312"/>
          <w:b w:val="0"/>
          <w:spacing w:val="-4"/>
          <w:sz w:val="28"/>
          <w:szCs w:val="28"/>
        </w:rPr>
        <w:t>、监管情况</w:t>
      </w:r>
    </w:p>
    <w:p>
      <w:pPr>
        <w:spacing w:line="360" w:lineRule="auto"/>
        <w:ind w:firstLine="560" w:firstLineChars="200"/>
        <w:rPr>
          <w:rStyle w:val="17"/>
          <w:rFonts w:ascii="仿宋_GB2312" w:hAnsi="楷体" w:eastAsia="仿宋_GB2312"/>
          <w:b w:val="0"/>
          <w:color w:val="auto"/>
          <w:spacing w:val="-4"/>
          <w:sz w:val="28"/>
          <w:szCs w:val="28"/>
        </w:rPr>
      </w:pPr>
      <w:r>
        <w:rPr>
          <w:rFonts w:hint="eastAsia" w:ascii="仿宋_GB2312" w:eastAsia="仿宋_GB2312"/>
          <w:color w:val="auto"/>
          <w:sz w:val="28"/>
          <w:szCs w:val="36"/>
        </w:rPr>
        <w:t>办公室、产业促进科、公共服务科</w:t>
      </w:r>
      <w:r>
        <w:rPr>
          <w:rStyle w:val="17"/>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1"/>
        </w:numPr>
        <w:spacing w:line="360" w:lineRule="auto"/>
        <w:rPr>
          <w:rStyle w:val="17"/>
          <w:rFonts w:ascii="仿宋" w:hAnsi="仿宋" w:eastAsia="仿宋"/>
          <w:b/>
          <w:bCs/>
        </w:rPr>
      </w:pPr>
      <w:r>
        <w:rPr>
          <w:rStyle w:val="17"/>
          <w:rFonts w:hint="eastAsia" w:ascii="仿宋" w:hAnsi="仿宋" w:eastAsia="仿宋"/>
          <w:b/>
          <w:bCs/>
        </w:rPr>
        <w:t>绩效情况分析</w:t>
      </w:r>
    </w:p>
    <w:p>
      <w:pPr>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1</w:t>
      </w:r>
      <w:r>
        <w:rPr>
          <w:rStyle w:val="17"/>
          <w:rFonts w:ascii="仿宋_GB2312" w:hAnsi="楷体" w:eastAsia="仿宋_GB2312"/>
          <w:b w:val="0"/>
          <w:bCs w:val="0"/>
          <w:spacing w:val="-4"/>
          <w:sz w:val="28"/>
          <w:szCs w:val="28"/>
        </w:rPr>
        <w:t>、成本控制情况</w:t>
      </w:r>
    </w:p>
    <w:p>
      <w:pPr>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特克斯县</w:t>
      </w:r>
      <w:r>
        <w:rPr>
          <w:rFonts w:hint="eastAsia" w:ascii="仿宋_GB2312" w:eastAsia="仿宋_GB2312"/>
          <w:sz w:val="28"/>
          <w:szCs w:val="36"/>
        </w:rPr>
        <w:t>文化体育广播电视和旅游局</w:t>
      </w:r>
      <w:r>
        <w:rPr>
          <w:rStyle w:val="17"/>
          <w:rFonts w:hint="eastAsia" w:ascii="仿宋_GB2312" w:hAnsi="楷体" w:eastAsia="仿宋_GB2312"/>
          <w:b w:val="0"/>
          <w:spacing w:val="-4"/>
          <w:sz w:val="28"/>
          <w:szCs w:val="28"/>
        </w:rPr>
        <w:t>，所涉及专项项目均已于专项资金下达后按照资金文件及绩效管理要求设置《项目绩效目标表》。8个专项项目预算总额为12535.02万元，在项目实施过程中，业务人员加强项目管理，合理控制项目成本，截止项目结束，8个项目总成本为12535.02万元，不存在超支情况。</w:t>
      </w:r>
    </w:p>
    <w:p>
      <w:pPr>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2</w:t>
      </w:r>
      <w:r>
        <w:rPr>
          <w:rStyle w:val="17"/>
          <w:rFonts w:ascii="仿宋_GB2312" w:hAnsi="楷体" w:eastAsia="仿宋_GB2312"/>
          <w:b w:val="0"/>
          <w:bCs w:val="0"/>
          <w:spacing w:val="-4"/>
          <w:sz w:val="28"/>
          <w:szCs w:val="28"/>
        </w:rPr>
        <w:t>、成本节约情况</w:t>
      </w:r>
    </w:p>
    <w:p>
      <w:pPr>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特克斯县</w:t>
      </w:r>
      <w:r>
        <w:rPr>
          <w:rFonts w:hint="eastAsia" w:ascii="仿宋_GB2312" w:eastAsia="仿宋_GB2312"/>
          <w:sz w:val="28"/>
          <w:szCs w:val="36"/>
        </w:rPr>
        <w:t>文化体育广播电视和旅游局</w:t>
      </w:r>
      <w:r>
        <w:rPr>
          <w:rStyle w:val="17"/>
          <w:rFonts w:hint="eastAsia" w:ascii="仿宋_GB2312" w:hAnsi="楷体" w:eastAsia="仿宋_GB2312"/>
          <w:b w:val="0"/>
          <w:spacing w:val="-4"/>
          <w:sz w:val="28"/>
          <w:szCs w:val="28"/>
        </w:rPr>
        <w:t>，所涉及专项项目使用资金比专项项目总预算减少0万元，</w:t>
      </w:r>
      <w:bookmarkStart w:id="30" w:name="_Hlk96097132"/>
      <w:r>
        <w:rPr>
          <w:rStyle w:val="17"/>
          <w:rFonts w:hint="eastAsia" w:ascii="仿宋_GB2312" w:hAnsi="楷体" w:eastAsia="仿宋_GB2312"/>
          <w:b w:val="0"/>
          <w:spacing w:val="-4"/>
          <w:sz w:val="28"/>
          <w:szCs w:val="28"/>
        </w:rPr>
        <w:t>项目节约率</w:t>
      </w:r>
      <w:bookmarkEnd w:id="30"/>
      <w:r>
        <w:rPr>
          <w:rStyle w:val="17"/>
          <w:rFonts w:hint="eastAsia" w:ascii="仿宋_GB2312" w:hAnsi="楷体" w:eastAsia="仿宋_GB2312"/>
          <w:b w:val="0"/>
          <w:spacing w:val="-4"/>
          <w:sz w:val="28"/>
          <w:szCs w:val="28"/>
        </w:rPr>
        <w:t>为100%。</w:t>
      </w:r>
    </w:p>
    <w:p>
      <w:pPr>
        <w:pStyle w:val="5"/>
        <w:numPr>
          <w:ilvl w:val="0"/>
          <w:numId w:val="1"/>
        </w:numPr>
        <w:spacing w:line="360" w:lineRule="auto"/>
        <w:rPr>
          <w:rStyle w:val="17"/>
          <w:rFonts w:ascii="仿宋" w:hAnsi="仿宋" w:eastAsia="仿宋"/>
          <w:b/>
          <w:bCs/>
        </w:rPr>
      </w:pPr>
      <w:r>
        <w:rPr>
          <w:rStyle w:val="17"/>
          <w:rFonts w:hint="eastAsia" w:ascii="仿宋" w:hAnsi="仿宋" w:eastAsia="仿宋"/>
          <w:b/>
          <w:bCs/>
        </w:rPr>
        <w:t>项目效率性分析</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1、实施进度</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2021年特克斯县</w:t>
      </w:r>
      <w:r>
        <w:rPr>
          <w:rFonts w:hint="eastAsia" w:ascii="仿宋_GB2312" w:eastAsia="仿宋_GB2312"/>
          <w:sz w:val="28"/>
          <w:szCs w:val="36"/>
        </w:rPr>
        <w:t>文化体育广播电视和旅游局</w:t>
      </w:r>
      <w:r>
        <w:rPr>
          <w:rStyle w:val="17"/>
          <w:rFonts w:hint="eastAsia" w:ascii="仿宋_GB2312" w:hAnsi="楷体" w:eastAsia="仿宋_GB2312"/>
          <w:b w:val="0"/>
          <w:spacing w:val="-4"/>
          <w:sz w:val="28"/>
          <w:szCs w:val="28"/>
        </w:rPr>
        <w:t>共涉及专项项目8个，截止到2021年底，通过专项项目实施过程中的有效监督，我单位按预期完成了8个专项的各项专项任务，项目总体完成率为</w:t>
      </w:r>
      <w:r>
        <w:rPr>
          <w:rStyle w:val="17"/>
          <w:rFonts w:hint="eastAsia" w:ascii="仿宋_GB2312" w:hAnsi="楷体" w:eastAsia="仿宋_GB2312"/>
          <w:b w:val="0"/>
          <w:spacing w:val="-4"/>
          <w:sz w:val="28"/>
          <w:szCs w:val="28"/>
        </w:rPr>
        <w:tab/>
      </w:r>
      <w:r>
        <w:rPr>
          <w:rStyle w:val="17"/>
          <w:rFonts w:hint="eastAsia" w:ascii="仿宋_GB2312" w:hAnsi="楷体" w:eastAsia="仿宋_GB2312"/>
          <w:b w:val="0"/>
          <w:spacing w:val="-4"/>
          <w:sz w:val="28"/>
          <w:szCs w:val="28"/>
        </w:rPr>
        <w:t>100%。</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2、完成质量</w:t>
      </w:r>
    </w:p>
    <w:p>
      <w:pPr>
        <w:spacing w:line="360" w:lineRule="auto"/>
        <w:ind w:firstLine="544" w:firstLineChars="200"/>
        <w:rPr>
          <w:rStyle w:val="17"/>
          <w:rFonts w:ascii="仿宋_GB2312" w:hAnsi="楷体" w:eastAsia="仿宋_GB2312"/>
          <w:b w:val="0"/>
          <w:spacing w:val="-4"/>
          <w:sz w:val="28"/>
          <w:szCs w:val="28"/>
        </w:rPr>
      </w:pPr>
      <w:bookmarkStart w:id="31" w:name="_Hlk96100380"/>
      <w:r>
        <w:rPr>
          <w:rStyle w:val="17"/>
          <w:rFonts w:hint="eastAsia" w:ascii="仿宋_GB2312" w:hAnsi="楷体" w:eastAsia="仿宋_GB2312"/>
          <w:b w:val="0"/>
          <w:spacing w:val="-4"/>
          <w:sz w:val="28"/>
          <w:szCs w:val="28"/>
        </w:rPr>
        <w:t>8个专项项目完成质量情况如下：</w:t>
      </w:r>
      <w:bookmarkEnd w:id="31"/>
    </w:p>
    <w:p>
      <w:pPr>
        <w:spacing w:line="360" w:lineRule="auto"/>
        <w:ind w:firstLine="544" w:firstLineChars="200"/>
        <w:rPr>
          <w:rStyle w:val="17"/>
          <w:rFonts w:ascii="仿宋_GB2312" w:hAnsi="楷体" w:eastAsia="仿宋_GB2312"/>
          <w:b w:val="0"/>
          <w:color w:val="FF0000"/>
          <w:spacing w:val="-4"/>
          <w:sz w:val="28"/>
          <w:szCs w:val="28"/>
        </w:rPr>
      </w:pPr>
      <w:r>
        <w:rPr>
          <w:rStyle w:val="17"/>
          <w:rFonts w:hint="eastAsia" w:ascii="仿宋_GB2312" w:hAnsi="楷体" w:eastAsia="仿宋_GB2312"/>
          <w:b w:val="0"/>
          <w:spacing w:val="-4"/>
          <w:sz w:val="28"/>
          <w:szCs w:val="28"/>
        </w:rPr>
        <w:t>①美术馆、公共图书馆、文化馆（站）免费开放补助资金103.40万元，完成对人民群众的精神文化生活进行丰富，发挥“三馆一站”在提高公民鉴赏能力、各族群众思想道德和文化素质的作用有所提高，保障各族群众基本权利，促进社会和谐稳定</w:t>
      </w:r>
      <w:r>
        <w:rPr>
          <w:rStyle w:val="17"/>
          <w:rFonts w:hint="eastAsia" w:ascii="仿宋_GB2312" w:hAnsi="楷体" w:eastAsia="仿宋_GB2312"/>
          <w:b w:val="0"/>
          <w:color w:val="FF0000"/>
          <w:spacing w:val="-4"/>
          <w:sz w:val="28"/>
          <w:szCs w:val="28"/>
        </w:rPr>
        <w:t>；</w:t>
      </w:r>
    </w:p>
    <w:p>
      <w:pPr>
        <w:spacing w:line="360" w:lineRule="auto"/>
        <w:ind w:firstLine="544" w:firstLineChars="200"/>
        <w:rPr>
          <w:rStyle w:val="17"/>
          <w:rFonts w:ascii="仿宋_GB2312" w:hAnsi="楷体" w:eastAsia="仿宋_GB2312"/>
          <w:b w:val="0"/>
          <w:color w:val="FF0000"/>
          <w:spacing w:val="-4"/>
          <w:sz w:val="28"/>
          <w:szCs w:val="28"/>
        </w:rPr>
      </w:pPr>
      <w:r>
        <w:rPr>
          <w:rStyle w:val="17"/>
          <w:rFonts w:hint="eastAsia" w:ascii="仿宋_GB2312" w:hAnsi="楷体" w:eastAsia="仿宋_GB2312"/>
          <w:b w:val="0"/>
          <w:spacing w:val="-4"/>
          <w:sz w:val="28"/>
          <w:szCs w:val="28"/>
        </w:rPr>
        <w:t>②国家非物质文化遗产保护专项资金2万元，完成对1位国家级代表性传承人传承活动等年度计划任务进行补助，推动非遗抢救保护</w:t>
      </w:r>
      <w:r>
        <w:rPr>
          <w:rStyle w:val="17"/>
          <w:rFonts w:hint="eastAsia" w:ascii="仿宋_GB2312" w:hAnsi="楷体" w:eastAsia="仿宋_GB2312"/>
          <w:b w:val="0"/>
          <w:color w:val="FF0000"/>
          <w:spacing w:val="-4"/>
          <w:sz w:val="28"/>
          <w:szCs w:val="28"/>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③博物馆纪念馆逐步免费开放运行经费30万元，完成加强教育宣传、对升公共服务有所提、对我馆残损文物进行统计修复、博物馆文物正在有序下乡；</w:t>
      </w:r>
    </w:p>
    <w:p>
      <w:pPr>
        <w:spacing w:line="360" w:lineRule="auto"/>
        <w:ind w:firstLine="544" w:firstLineChars="200"/>
        <w:rPr>
          <w:rStyle w:val="17"/>
          <w:rFonts w:ascii="仿宋_GB2312" w:hAnsi="楷体" w:eastAsia="仿宋_GB2312"/>
          <w:b w:val="0"/>
          <w:color w:val="FF0000"/>
          <w:spacing w:val="-4"/>
          <w:sz w:val="28"/>
          <w:szCs w:val="28"/>
        </w:rPr>
      </w:pPr>
      <w:r>
        <w:rPr>
          <w:rStyle w:val="17"/>
          <w:rFonts w:hint="eastAsia" w:ascii="仿宋_GB2312" w:hAnsi="楷体" w:eastAsia="仿宋_GB2312"/>
          <w:b w:val="0"/>
          <w:spacing w:val="-4"/>
          <w:sz w:val="28"/>
          <w:szCs w:val="28"/>
        </w:rPr>
        <w:t>④“村村通”工程聘用运行维护人员经费9.95万元，完成聘用专职村村通维护管理人员，工资按时每月发放到位，实施“村村通”、“户户通”和农村广播“大喇叭”工程基层运行维护工作，运行维护队伍人员稳定、理论扎实、技能过硬，基本实现“小问题不出乡镇，一般问题不出县市”的运行维护目标，保障各项设施设备运行维护正常，广大农牧民群众能够正常收听看到广播电视节目，基层形态领域宣传阵地得到有效巩固</w:t>
      </w:r>
      <w:r>
        <w:rPr>
          <w:rStyle w:val="17"/>
          <w:rFonts w:hint="eastAsia" w:ascii="仿宋_GB2312" w:hAnsi="楷体" w:eastAsia="仿宋_GB2312"/>
          <w:b w:val="0"/>
          <w:color w:val="FF0000"/>
          <w:spacing w:val="-4"/>
          <w:sz w:val="28"/>
          <w:szCs w:val="28"/>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⑤自治区旅游专项资金250万元，完成1、正在加大对国家全域旅游示范区的宣传，进一步提升旅游宣传影响力。2、进一步提高旅游基础设施建设科学性，正在完善县域范围内全域旅游景区沿线氛围打造（墙体彩绘、景观小品制作、广告制作）的改造提升</w:t>
      </w:r>
      <w:r>
        <w:rPr>
          <w:rStyle w:val="17"/>
          <w:rFonts w:hint="eastAsia" w:ascii="仿宋_GB2312" w:hAnsi="楷体" w:eastAsia="仿宋_GB2312"/>
          <w:b w:val="0"/>
          <w:color w:val="FF0000"/>
          <w:spacing w:val="-4"/>
          <w:sz w:val="28"/>
          <w:szCs w:val="28"/>
        </w:rPr>
        <w:t>；</w:t>
      </w:r>
      <w:r>
        <w:rPr>
          <w:rStyle w:val="17"/>
          <w:rFonts w:hint="eastAsia" w:ascii="仿宋_GB2312" w:hAnsi="楷体" w:eastAsia="仿宋_GB2312"/>
          <w:b w:val="0"/>
          <w:spacing w:val="-4"/>
          <w:sz w:val="28"/>
          <w:szCs w:val="28"/>
        </w:rPr>
        <w:t xml:space="preserve">  </w:t>
      </w:r>
    </w:p>
    <w:p>
      <w:pPr>
        <w:pStyle w:val="2"/>
        <w:ind w:firstLine="544" w:firstLineChars="200"/>
        <w:rPr>
          <w:rStyle w:val="17"/>
          <w:rFonts w:ascii="仿宋_GB2312" w:hAnsi="楷体" w:eastAsia="仿宋_GB2312"/>
          <w:b w:val="0"/>
          <w:bCs/>
          <w:spacing w:val="-4"/>
          <w:sz w:val="28"/>
          <w:szCs w:val="28"/>
        </w:rPr>
      </w:pPr>
      <w:r>
        <w:rPr>
          <w:rStyle w:val="17"/>
          <w:rFonts w:hint="eastAsia" w:ascii="仿宋_GB2312" w:hAnsi="楷体" w:eastAsia="仿宋_GB2312"/>
          <w:b w:val="0"/>
          <w:bCs/>
          <w:spacing w:val="-4"/>
          <w:sz w:val="28"/>
          <w:szCs w:val="28"/>
        </w:rPr>
        <w:t>⑥少数民族地区文化安全专项资金26万元，完成“西新工程”村村通广播电视维护及安装户户通设备，为农牧区群众享受与城镇群众同样的广播电视服务提供了有效保障，促进了各族群众安居乐业；</w:t>
      </w:r>
    </w:p>
    <w:p>
      <w:pPr>
        <w:pStyle w:val="2"/>
        <w:ind w:firstLine="544" w:firstLineChars="200"/>
        <w:rPr>
          <w:rStyle w:val="17"/>
          <w:rFonts w:ascii="仿宋_GB2312" w:hAnsi="楷体" w:eastAsia="仿宋_GB2312"/>
          <w:b w:val="0"/>
          <w:bCs/>
          <w:spacing w:val="-4"/>
          <w:sz w:val="28"/>
          <w:szCs w:val="28"/>
        </w:rPr>
      </w:pPr>
      <w:r>
        <w:rPr>
          <w:rStyle w:val="17"/>
          <w:rFonts w:hint="eastAsia" w:ascii="仿宋_GB2312" w:hAnsi="楷体" w:eastAsia="仿宋_GB2312"/>
          <w:b w:val="0"/>
          <w:bCs/>
          <w:spacing w:val="-4"/>
          <w:sz w:val="28"/>
          <w:szCs w:val="28"/>
        </w:rPr>
        <w:t>⑦中央补助地方公共文化服务体系建设补助资金161万元，完成引导和支持开展基本公共文化服务项目，改善乡镇公共文化体育设施条件，加强县乡公共文化服务人才队伍建设，加快构建现代公共文化服务体系，促进基本公共文化服务标准化，均等化，保障广大群众读书看报，观看电视、观赏电影，进行文化鉴赏，开展文化体育活动等基本文化权益；</w:t>
      </w:r>
    </w:p>
    <w:p>
      <w:pPr>
        <w:ind w:firstLine="544" w:firstLineChars="200"/>
        <w:rPr>
          <w:rFonts w:eastAsia="仿宋_GB2312"/>
        </w:rPr>
      </w:pPr>
      <w:r>
        <w:rPr>
          <w:rStyle w:val="17"/>
          <w:rFonts w:hint="eastAsia" w:ascii="仿宋_GB2312" w:hAnsi="楷体" w:eastAsia="仿宋_GB2312"/>
          <w:b w:val="0"/>
          <w:spacing w:val="-4"/>
          <w:sz w:val="28"/>
          <w:szCs w:val="28"/>
        </w:rPr>
        <w:t>⑧伊犁州特克斯县全域旅游基础设施建设项目12000万元，完成喀拉峻景区沿线提升及景区电力改造项目涉及喀拉峻景区沿线40公里；布拉克门票站—遗产展示馆沿途改造；骆驼驿站加固及运营；景区警务站改造，及景区沿线相关配套附属设施建设。停车场3个；景区内红色旅游景点打造，喀拉峻景区阔克段苏电力敷设（20公里）高压地埋电缆，及景区相关配套附属设施建设，喀拉峻景区道路建设项目新建景区道路60.9公里，其中沙石化道路30公里，硬化道路30.9公里，喀拉峻景区旅游厕所及停车场（停靠站）建项目新建3A级旅游厕所、生态停车场、游客休憩廊庭厅、停靠点等基础设施建设，及相关配套附属设施建设，喀拉峻景区安全设施建设项目停景区内观景平台、停车场等基础服务设施遮阳避雨廊亭等设施建设及相关配套附属设施。</w:t>
      </w:r>
    </w:p>
    <w:p/>
    <w:p>
      <w:pPr>
        <w:pStyle w:val="5"/>
        <w:numPr>
          <w:ilvl w:val="0"/>
          <w:numId w:val="1"/>
        </w:numPr>
        <w:spacing w:line="360" w:lineRule="auto"/>
        <w:rPr>
          <w:rStyle w:val="17"/>
          <w:rFonts w:ascii="仿宋" w:hAnsi="仿宋" w:eastAsia="仿宋"/>
          <w:b/>
          <w:bCs/>
        </w:rPr>
      </w:pPr>
      <w:r>
        <w:rPr>
          <w:rStyle w:val="17"/>
          <w:rFonts w:hint="eastAsia" w:ascii="仿宋" w:hAnsi="仿宋" w:eastAsia="仿宋"/>
          <w:b/>
          <w:bCs/>
        </w:rPr>
        <w:t>项目效益性分析</w:t>
      </w:r>
    </w:p>
    <w:p>
      <w:pPr>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8个专项项目预期目标完成程度、实施对经济和社会的影响如下：</w:t>
      </w:r>
    </w:p>
    <w:p>
      <w:pPr>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b w:val="0"/>
          <w:spacing w:val="-4"/>
          <w:sz w:val="28"/>
          <w:szCs w:val="28"/>
        </w:rPr>
        <w:t>1、美术馆 公共图书馆 文化馆（站）免费开放补助资</w:t>
      </w:r>
      <w:r>
        <w:rPr>
          <w:rStyle w:val="17"/>
          <w:rFonts w:hint="eastAsia" w:ascii="仿宋_GB2312" w:hAnsi="楷体" w:eastAsia="仿宋_GB2312" w:cs="Times New Roman"/>
          <w:b w:val="0"/>
          <w:bCs w:val="0"/>
          <w:spacing w:val="-4"/>
          <w:sz w:val="28"/>
          <w:szCs w:val="28"/>
        </w:rPr>
        <w:t>金，充分发挥各级图书馆、文化馆、美术馆、乡镇文化站宣传教育和社会服务阵地作用，落实党的十九大精神和中央治疆方略，聚焦新疆社会稳定和长治久安总目标，充分履行和承担举旗帜、聚民心、育新人、兴文化、展形象的使命任务，取得了较好的社会效益；坚持以马克思主义“五观”，推动“五个认同”，加强对弘扬中华优秀传统文化，促进各民族交流交往交融，强化中华民族共同体意识，培育和践行社会主义核心价值观，群众精神文化需求可持续影响；</w:t>
      </w:r>
    </w:p>
    <w:p>
      <w:pPr>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2、国家非物质文化遗产保护专项资金，对1位国家级代表性传承人传承活动等年度计划任务进行补助，推动非遗抢救保护，有效保护非遗与传承受益公众增长率；</w:t>
      </w:r>
    </w:p>
    <w:p>
      <w:pPr>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3、博物馆纪念馆逐步免费开放运行经费，充分发挥博物馆宣传教育和社会服务阵地，博物馆的宣传及影响，美化优化环境，不断强化文物的实证史证作用和宣传教育功能，不断弘扬传承优秀传统文化，大力培育社会主义核心价值观，传统中华民族优秀传统文化，举办多样社交活动4场次，有效提高爱国主义教育作用，举办专题教育活动4场次；</w:t>
      </w:r>
    </w:p>
    <w:p>
      <w:pPr>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4、“村村通”工程聘用运行维护人员经费，聘用专职村村通维护管理人员，工资按时每月发放到位，有效稳定村村通运行维护人员队伍，逐步提高我区村村通运行维护水平；</w:t>
      </w:r>
    </w:p>
    <w:p>
      <w:pPr>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5、自治区旅游专项资金，实现全域旅游提升带动当地经济发展，并较上年有所提升，旅游发展模式转变意识，旅游项目服务面辐射面产生了较广的影响，以全域旅游为契机，进一步完善旅游设施，优化产业环境，提高特克斯旅游整体形象、特克斯旅游知名度。</w:t>
      </w:r>
    </w:p>
    <w:p>
      <w:pPr>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6、少数民族地区文化安全专项资金，有效保障牧民和周边居民能够收听收看电视节目，为农牧区群众享受与城镇群众同样的广播电视服务提供了有效保障，促进了各族群众安居乐业。</w:t>
      </w:r>
    </w:p>
    <w:p>
      <w:pPr>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7、中央补助地方公共文化服务体系建设补助资金，有效提升了健身器材的利用率，有效提高国民体质，促进基本公共文化服务标准化，均等化，保障广大群众读书看报，观看电视、观赏电影，进行文化鉴赏，开展文化体育活动等基本文化权益。</w:t>
      </w:r>
    </w:p>
    <w:p>
      <w:pPr>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8、伊犁州特克斯县全域旅游基础设施建设项目，完成喀拉峻景区沿线提升及景区电力改造项目涉及喀拉峻景区沿线40公里；布拉克门票站—遗产展示馆沿途改造；骆驼驿站加固及运营；景区警务站改造，及景区沿线相关配套附</w:t>
      </w:r>
      <w:bookmarkStart w:id="57" w:name="_GoBack"/>
      <w:bookmarkEnd w:id="57"/>
      <w:r>
        <w:rPr>
          <w:rStyle w:val="17"/>
          <w:rFonts w:hint="eastAsia" w:ascii="仿宋_GB2312" w:hAnsi="楷体" w:eastAsia="仿宋_GB2312" w:cs="Times New Roman"/>
          <w:b w:val="0"/>
          <w:bCs w:val="0"/>
          <w:spacing w:val="-4"/>
          <w:sz w:val="28"/>
          <w:szCs w:val="28"/>
        </w:rPr>
        <w:t>属设施建设。停车场3个；景区内红色旅游景点打造，喀拉峻景区阔克段苏电力敷设（20公里），有效提升特克斯县旅游品牌，提供就业岗位≥50个。</w:t>
      </w:r>
    </w:p>
    <w:p>
      <w:pPr>
        <w:pStyle w:val="4"/>
        <w:spacing w:line="360" w:lineRule="auto"/>
        <w:rPr>
          <w:rFonts w:ascii="仿宋" w:hAnsi="仿宋" w:eastAsia="仿宋"/>
          <w:sz w:val="36"/>
          <w:szCs w:val="36"/>
        </w:rPr>
      </w:pPr>
      <w:bookmarkStart w:id="32" w:name="_Toc70450310"/>
      <w:bookmarkStart w:id="33" w:name="_Toc18682"/>
      <w:r>
        <w:rPr>
          <w:rFonts w:hint="eastAsia" w:ascii="仿宋" w:hAnsi="仿宋" w:eastAsia="仿宋"/>
          <w:sz w:val="36"/>
          <w:szCs w:val="36"/>
        </w:rPr>
        <w:t>四、资产管理情况</w:t>
      </w:r>
      <w:bookmarkEnd w:id="32"/>
      <w:bookmarkEnd w:id="33"/>
    </w:p>
    <w:p>
      <w:pPr>
        <w:pStyle w:val="2"/>
        <w:spacing w:line="360" w:lineRule="auto"/>
        <w:rPr>
          <w:rStyle w:val="17"/>
          <w:rFonts w:ascii="仿宋" w:hAnsi="仿宋" w:eastAsia="仿宋"/>
          <w:b/>
          <w:bCs/>
        </w:rPr>
      </w:pPr>
      <w:bookmarkStart w:id="34" w:name="_Toc70450311"/>
      <w:bookmarkStart w:id="35" w:name="_Toc1647"/>
      <w:r>
        <w:rPr>
          <w:rStyle w:val="17"/>
          <w:rFonts w:hint="eastAsia" w:ascii="仿宋" w:hAnsi="仿宋" w:eastAsia="仿宋"/>
          <w:b/>
          <w:bCs/>
        </w:rPr>
        <w:t>（一）资产配置情况</w:t>
      </w:r>
      <w:bookmarkEnd w:id="34"/>
      <w:bookmarkEnd w:id="35"/>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2021年我</w:t>
      </w:r>
      <w:r>
        <w:rPr>
          <w:rStyle w:val="17"/>
          <w:rFonts w:hint="eastAsia" w:ascii="仿宋_GB2312" w:hAnsi="楷体" w:eastAsia="仿宋_GB2312"/>
          <w:b w:val="0"/>
          <w:spacing w:val="-4"/>
          <w:sz w:val="28"/>
          <w:szCs w:val="28"/>
        </w:rPr>
        <w:t>单位</w:t>
      </w:r>
      <w:r>
        <w:rPr>
          <w:rStyle w:val="17"/>
          <w:rFonts w:hint="eastAsia" w:ascii="仿宋_GB2312" w:hAnsi="宋体" w:eastAsia="仿宋_GB2312"/>
          <w:b w:val="0"/>
          <w:bCs w:val="0"/>
          <w:spacing w:val="-4"/>
          <w:sz w:val="28"/>
          <w:szCs w:val="28"/>
        </w:rPr>
        <w:t>资产总额19498.96万元，其中流动资产320.95万元（其中货币资金0.3万元、财政应返回额度347.80万元、应收票据0.08万元、其他应收款净额-27.53万元），固定资产净值1407.91万元（其中：土地、房屋及构筑物1003.73万元，占固定资产净值的71.29%；通用设备</w:t>
      </w:r>
      <w:r>
        <w:rPr>
          <w:rStyle w:val="17"/>
          <w:rFonts w:ascii="仿宋_GB2312" w:hAnsi="宋体" w:eastAsia="仿宋_GB2312"/>
          <w:b w:val="0"/>
          <w:bCs w:val="0"/>
          <w:spacing w:val="-4"/>
          <w:sz w:val="28"/>
          <w:szCs w:val="28"/>
        </w:rPr>
        <w:t xml:space="preserve"> </w:t>
      </w:r>
      <w:r>
        <w:rPr>
          <w:rStyle w:val="17"/>
          <w:rFonts w:hint="eastAsia" w:ascii="仿宋_GB2312" w:hAnsi="宋体" w:eastAsia="仿宋_GB2312"/>
          <w:b w:val="0"/>
          <w:bCs w:val="0"/>
          <w:spacing w:val="-4"/>
          <w:sz w:val="28"/>
          <w:szCs w:val="28"/>
        </w:rPr>
        <w:t>159.62万元，占固定资产净值的11.34%；专用设备64.5万元，占固定资产净值的4.58%；</w:t>
      </w:r>
      <w:r>
        <w:rPr>
          <w:rFonts w:hint="eastAsia" w:ascii="微软雅黑" w:hAnsi="微软雅黑" w:eastAsia="微软雅黑"/>
          <w:sz w:val="22"/>
          <w:szCs w:val="22"/>
          <w:shd w:val="clear" w:color="auto" w:fill="FFFFFF"/>
        </w:rPr>
        <w:t>家具、用具、装具及动植物</w:t>
      </w:r>
      <w:r>
        <w:rPr>
          <w:rStyle w:val="17"/>
          <w:rFonts w:hint="eastAsia" w:ascii="仿宋_GB2312" w:hAnsi="宋体" w:eastAsia="仿宋_GB2312"/>
          <w:b w:val="0"/>
          <w:bCs w:val="0"/>
          <w:spacing w:val="-4"/>
          <w:sz w:val="28"/>
          <w:szCs w:val="28"/>
        </w:rPr>
        <w:t>180.06万元,占固定资产净值的12.79%）。</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本年度流动资产320.95万元，比上年减少2078.24万元，原因是：收回应收款项。</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本年度固定资产1407.91万元，比上年增加71.09万元，原因是：增加通用设备及房至建筑物资产。</w:t>
      </w:r>
    </w:p>
    <w:p>
      <w:pPr>
        <w:snapToGrid w:val="0"/>
        <w:spacing w:line="360" w:lineRule="auto"/>
        <w:ind w:firstLine="544" w:firstLineChars="200"/>
        <w:rPr>
          <w:rStyle w:val="17"/>
          <w:rFonts w:ascii="宋体" w:hAnsi="宋体" w:eastAsia="仿宋_GB2312"/>
          <w:bCs w:val="0"/>
          <w:spacing w:val="-4"/>
          <w:sz w:val="28"/>
          <w:szCs w:val="28"/>
        </w:rPr>
      </w:pPr>
      <w:r>
        <w:rPr>
          <w:rStyle w:val="17"/>
          <w:rFonts w:hint="eastAsia" w:ascii="仿宋_GB2312" w:hAnsi="宋体" w:eastAsia="仿宋_GB2312"/>
          <w:b w:val="0"/>
          <w:bCs w:val="0"/>
          <w:spacing w:val="-4"/>
          <w:sz w:val="28"/>
          <w:szCs w:val="28"/>
        </w:rPr>
        <w:t>实际在用固定资产1407.91万元，固定资产利用率100%。</w:t>
      </w:r>
    </w:p>
    <w:p>
      <w:pPr>
        <w:pStyle w:val="2"/>
        <w:spacing w:line="360" w:lineRule="auto"/>
        <w:rPr>
          <w:rStyle w:val="17"/>
          <w:rFonts w:ascii="仿宋" w:hAnsi="仿宋" w:eastAsia="仿宋"/>
          <w:b/>
          <w:bCs/>
        </w:rPr>
      </w:pPr>
      <w:bookmarkStart w:id="36" w:name="_Toc70450312"/>
      <w:bookmarkStart w:id="37" w:name="_Toc5662"/>
      <w:r>
        <w:rPr>
          <w:rStyle w:val="17"/>
          <w:rFonts w:hint="eastAsia" w:ascii="仿宋" w:hAnsi="仿宋" w:eastAsia="仿宋"/>
          <w:b/>
          <w:bCs/>
        </w:rPr>
        <w:t>（二）资产管理情况</w:t>
      </w:r>
      <w:bookmarkEnd w:id="36"/>
      <w:bookmarkEnd w:id="37"/>
    </w:p>
    <w:p>
      <w:pPr>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7"/>
          <w:rFonts w:ascii="仿宋_GB2312" w:hAnsi="宋体" w:eastAsia="仿宋_GB2312"/>
          <w:b w:val="0"/>
          <w:spacing w:val="-4"/>
          <w:sz w:val="28"/>
          <w:szCs w:val="28"/>
        </w:rPr>
      </w:pPr>
    </w:p>
    <w:p>
      <w:pPr>
        <w:pStyle w:val="4"/>
        <w:spacing w:line="360" w:lineRule="auto"/>
        <w:rPr>
          <w:rFonts w:ascii="仿宋" w:hAnsi="仿宋" w:eastAsia="仿宋"/>
          <w:sz w:val="36"/>
          <w:szCs w:val="36"/>
        </w:rPr>
      </w:pPr>
      <w:bookmarkStart w:id="38" w:name="_Toc70450313"/>
      <w:bookmarkStart w:id="39" w:name="_Toc16151"/>
      <w:r>
        <w:rPr>
          <w:rFonts w:hint="eastAsia" w:ascii="仿宋" w:hAnsi="仿宋" w:eastAsia="仿宋"/>
          <w:sz w:val="36"/>
          <w:szCs w:val="36"/>
        </w:rPr>
        <w:t>五、部门单位整体支出绩效情况</w:t>
      </w:r>
      <w:bookmarkEnd w:id="38"/>
      <w:bookmarkEnd w:id="39"/>
    </w:p>
    <w:p>
      <w:pPr>
        <w:pStyle w:val="2"/>
        <w:spacing w:line="360" w:lineRule="auto"/>
        <w:ind w:firstLine="643" w:firstLineChars="200"/>
        <w:rPr>
          <w:rStyle w:val="17"/>
          <w:rFonts w:ascii="仿宋" w:hAnsi="仿宋" w:eastAsia="仿宋"/>
          <w:b/>
          <w:bCs/>
        </w:rPr>
      </w:pPr>
      <w:bookmarkStart w:id="40" w:name="_Toc27532"/>
      <w:bookmarkStart w:id="41" w:name="_Toc70450314"/>
      <w:r>
        <w:rPr>
          <w:rStyle w:val="17"/>
          <w:rFonts w:hint="eastAsia" w:ascii="仿宋" w:hAnsi="仿宋" w:eastAsia="仿宋"/>
          <w:b/>
          <w:bCs/>
        </w:rPr>
        <w:t>（一）经济效益评价</w:t>
      </w:r>
      <w:bookmarkEnd w:id="40"/>
      <w:bookmarkEnd w:id="41"/>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2021年度我单位年初预算安排677.21万元，年中调整12888.50万元，截止12月底支出</w:t>
      </w:r>
      <w:r>
        <w:rPr>
          <w:rStyle w:val="17"/>
          <w:rFonts w:hint="eastAsia" w:ascii="仿宋_GB2312" w:hAnsi="楷体" w:eastAsia="仿宋_GB2312"/>
          <w:b w:val="0"/>
          <w:spacing w:val="-4"/>
          <w:sz w:val="28"/>
          <w:szCs w:val="28"/>
        </w:rPr>
        <w:t>13565.71</w:t>
      </w:r>
      <w:r>
        <w:rPr>
          <w:rStyle w:val="17"/>
          <w:rFonts w:hint="eastAsia" w:ascii="仿宋_GB2312" w:hAnsi="宋体" w:eastAsia="仿宋_GB2312"/>
          <w:b w:val="0"/>
          <w:bCs w:val="0"/>
          <w:spacing w:val="-4"/>
          <w:sz w:val="28"/>
          <w:szCs w:val="28"/>
        </w:rPr>
        <w:t>万元，执行率100%。</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1</w:t>
      </w:r>
      <w:r>
        <w:rPr>
          <w:rStyle w:val="17"/>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2</w:t>
      </w:r>
      <w:r>
        <w:rPr>
          <w:rStyle w:val="17"/>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2"/>
        <w:spacing w:line="360" w:lineRule="auto"/>
        <w:ind w:firstLine="643" w:firstLineChars="200"/>
        <w:rPr>
          <w:rStyle w:val="17"/>
          <w:rFonts w:ascii="仿宋" w:hAnsi="仿宋" w:eastAsia="仿宋"/>
          <w:b/>
          <w:bCs/>
        </w:rPr>
      </w:pPr>
      <w:bookmarkStart w:id="42" w:name="_Toc70450315"/>
      <w:bookmarkStart w:id="43" w:name="_Toc8635"/>
      <w:r>
        <w:rPr>
          <w:rStyle w:val="17"/>
          <w:rFonts w:hint="eastAsia" w:ascii="仿宋" w:hAnsi="仿宋" w:eastAsia="仿宋"/>
          <w:b/>
          <w:bCs/>
        </w:rPr>
        <w:t>（二）效率性评价</w:t>
      </w:r>
      <w:bookmarkEnd w:id="42"/>
      <w:bookmarkEnd w:id="43"/>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2021年，特克斯县财政局的大力支持和特克斯县人民政府的正确领导下，我</w:t>
      </w:r>
      <w:r>
        <w:rPr>
          <w:rStyle w:val="17"/>
          <w:rFonts w:hint="eastAsia" w:ascii="仿宋_GB2312" w:hAnsi="楷体" w:eastAsia="仿宋_GB2312"/>
          <w:b w:val="0"/>
          <w:spacing w:val="-4"/>
          <w:sz w:val="28"/>
          <w:szCs w:val="28"/>
        </w:rPr>
        <w:t>单位</w:t>
      </w:r>
      <w:r>
        <w:rPr>
          <w:rStyle w:val="17"/>
          <w:rFonts w:hint="eastAsia" w:ascii="仿宋_GB2312" w:hAnsi="宋体" w:eastAsia="仿宋_GB2312"/>
          <w:b w:val="0"/>
          <w:bCs w:val="0"/>
          <w:spacing w:val="-4"/>
          <w:sz w:val="28"/>
          <w:szCs w:val="28"/>
        </w:rPr>
        <w:t>迎难而上、务实重干，积极推动各项工作取得了新的进展，为促进经济持续健康发展与社会和谐稳定提供了有力的支撑和保障。</w:t>
      </w:r>
    </w:p>
    <w:p>
      <w:pPr>
        <w:spacing w:line="360" w:lineRule="auto"/>
        <w:ind w:firstLine="544" w:firstLineChars="200"/>
        <w:rPr>
          <w:rStyle w:val="17"/>
          <w:rFonts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1、圆满完成2021年我县旅游工作，全县累计接待游客578.05万人次，实现旅游综合性收入37.2亿元。</w:t>
      </w:r>
    </w:p>
    <w:p>
      <w:pPr>
        <w:spacing w:line="360" w:lineRule="auto"/>
        <w:ind w:firstLine="544" w:firstLineChars="200"/>
        <w:rPr>
          <w:rStyle w:val="17"/>
          <w:rFonts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2、不断加强文艺创作，录制各类节目在官方抖音及零距离播放，给观众传递正能量，弘扬了主旋律，起到以文化人、以文育人的目的，定期地对基层文化工作者和业余文艺骨干进行指导和辅导，辅导并吸纳乡镇业余文艺团队参加送文化进景区活动。</w:t>
      </w:r>
    </w:p>
    <w:p>
      <w:pPr>
        <w:spacing w:line="360" w:lineRule="auto"/>
        <w:ind w:firstLine="544" w:firstLineChars="200"/>
        <w:rPr>
          <w:rStyle w:val="17"/>
          <w:rFonts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3、旅游宣传工作成效显著，一是联合融媒体中心拍摄、制作琴定特克斯系列宣传短视频，二是研发特克斯深度体验旅游线路产品2个，三是迎接2批援疆旅游专列游客赴特克斯县观光旅游，开展直播、文艺汇演，授牌自治区精品民宿1家。</w:t>
      </w:r>
    </w:p>
    <w:p>
      <w:pPr>
        <w:spacing w:line="360" w:lineRule="auto"/>
        <w:ind w:firstLine="544" w:firstLineChars="200"/>
        <w:rPr>
          <w:rStyle w:val="17"/>
          <w:rFonts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4、不断提升服务质量，组建特克斯八卦城全域旅游服务队，提供旅游咨询、人员疏散、安全提示等服务，开展行业监管、环境卫生整治、旅游宣传等工作，形成游客诉求收集、流转、督办、答复闭环工作机制，及时协调解决各类旅游投诉，市场秩序明显好转，游客满意度不断提升。</w:t>
      </w:r>
    </w:p>
    <w:p>
      <w:pPr>
        <w:tabs>
          <w:tab w:val="left" w:pos="312"/>
        </w:tabs>
        <w:spacing w:line="360" w:lineRule="auto"/>
        <w:rPr>
          <w:rStyle w:val="17"/>
          <w:rFonts w:ascii="仿宋_GB2312" w:hAnsi="宋体" w:eastAsia="仿宋_GB2312"/>
          <w:b w:val="0"/>
          <w:bCs w:val="0"/>
          <w:spacing w:val="-4"/>
          <w:sz w:val="28"/>
          <w:szCs w:val="28"/>
          <w:highlight w:val="yellow"/>
        </w:rPr>
      </w:pPr>
    </w:p>
    <w:p>
      <w:pPr>
        <w:pStyle w:val="2"/>
        <w:spacing w:line="360" w:lineRule="auto"/>
        <w:ind w:firstLine="643" w:firstLineChars="200"/>
        <w:rPr>
          <w:rStyle w:val="17"/>
          <w:rFonts w:ascii="仿宋" w:hAnsi="仿宋" w:eastAsia="仿宋"/>
          <w:b/>
          <w:bCs/>
        </w:rPr>
      </w:pPr>
      <w:bookmarkStart w:id="44" w:name="_Toc30582"/>
      <w:bookmarkStart w:id="45" w:name="_Toc70450316"/>
      <w:r>
        <w:rPr>
          <w:rStyle w:val="17"/>
          <w:rFonts w:hint="eastAsia" w:ascii="仿宋" w:hAnsi="仿宋" w:eastAsia="仿宋"/>
          <w:b/>
          <w:bCs/>
        </w:rPr>
        <w:t>（三）有效性评价</w:t>
      </w:r>
      <w:bookmarkEnd w:id="44"/>
      <w:bookmarkEnd w:id="45"/>
    </w:p>
    <w:p>
      <w:pPr>
        <w:spacing w:line="360" w:lineRule="auto"/>
        <w:ind w:firstLine="544" w:firstLineChars="200"/>
        <w:rPr>
          <w:rStyle w:val="17"/>
          <w:rFonts w:ascii="仿宋_GB2312" w:hAnsi="宋体" w:eastAsia="仿宋_GB2312"/>
          <w:b w:val="0"/>
          <w:bCs w:val="0"/>
          <w:color w:val="FF0000"/>
          <w:spacing w:val="-4"/>
          <w:sz w:val="28"/>
          <w:szCs w:val="28"/>
        </w:rPr>
      </w:pPr>
      <w:r>
        <w:rPr>
          <w:rStyle w:val="17"/>
          <w:rFonts w:hint="eastAsia" w:ascii="仿宋_GB2312" w:hAnsi="宋体" w:eastAsia="仿宋_GB2312"/>
          <w:b w:val="0"/>
          <w:bCs w:val="0"/>
          <w:spacing w:val="-4"/>
          <w:sz w:val="28"/>
          <w:szCs w:val="28"/>
        </w:rPr>
        <w:t>2021年部门支出的有效性主要体现在我单位各项工作成效上，一是</w:t>
      </w:r>
      <w:r>
        <w:rPr>
          <w:rStyle w:val="17"/>
          <w:rFonts w:hint="eastAsia" w:ascii="仿宋_GB2312" w:hAnsi="宋体" w:eastAsia="仿宋_GB2312"/>
          <w:b w:val="0"/>
          <w:spacing w:val="-4"/>
          <w:sz w:val="28"/>
          <w:szCs w:val="28"/>
        </w:rPr>
        <w:t>单位工作正常开展和各项任务</w:t>
      </w:r>
      <w:r>
        <w:rPr>
          <w:rStyle w:val="17"/>
          <w:rFonts w:hint="eastAsia" w:ascii="仿宋_GB2312" w:hAnsi="宋体" w:eastAsia="仿宋_GB2312"/>
          <w:b w:val="0"/>
          <w:bCs w:val="0"/>
          <w:spacing w:val="-4"/>
          <w:sz w:val="28"/>
          <w:szCs w:val="28"/>
        </w:rPr>
        <w:t>进一步夯实，二是</w:t>
      </w:r>
      <w:r>
        <w:rPr>
          <w:rStyle w:val="17"/>
          <w:rFonts w:hint="eastAsia" w:ascii="仿宋_GB2312" w:hAnsi="宋体" w:eastAsia="仿宋_GB2312"/>
          <w:b w:val="0"/>
          <w:spacing w:val="-4"/>
          <w:sz w:val="28"/>
          <w:szCs w:val="28"/>
        </w:rPr>
        <w:t>引领旅游全系统发展</w:t>
      </w:r>
      <w:r>
        <w:rPr>
          <w:rStyle w:val="17"/>
          <w:rFonts w:hint="eastAsia" w:ascii="仿宋_GB2312" w:hAnsi="宋体" w:eastAsia="仿宋_GB2312"/>
          <w:b w:val="0"/>
          <w:bCs w:val="0"/>
          <w:spacing w:val="-4"/>
          <w:sz w:val="28"/>
          <w:szCs w:val="28"/>
        </w:rPr>
        <w:t>能力进一步提升，三是</w:t>
      </w:r>
      <w:r>
        <w:rPr>
          <w:rStyle w:val="17"/>
          <w:rFonts w:hint="eastAsia" w:ascii="仿宋_GB2312" w:hAnsi="宋体" w:eastAsia="仿宋_GB2312"/>
          <w:b w:val="0"/>
          <w:spacing w:val="-4"/>
          <w:sz w:val="28"/>
          <w:szCs w:val="28"/>
        </w:rPr>
        <w:t>单位工作环境</w:t>
      </w:r>
      <w:r>
        <w:rPr>
          <w:rStyle w:val="17"/>
          <w:rFonts w:hint="eastAsia" w:ascii="仿宋_GB2312" w:hAnsi="宋体" w:eastAsia="仿宋_GB2312"/>
          <w:b w:val="0"/>
          <w:bCs w:val="0"/>
          <w:spacing w:val="-4"/>
          <w:sz w:val="28"/>
          <w:szCs w:val="28"/>
        </w:rPr>
        <w:t>进一步改善，四是旅游发展进一步提高，五是</w:t>
      </w:r>
      <w:r>
        <w:rPr>
          <w:rStyle w:val="17"/>
          <w:rFonts w:hint="eastAsia" w:ascii="仿宋_GB2312" w:hAnsi="宋体" w:eastAsia="仿宋_GB2312"/>
          <w:b w:val="0"/>
          <w:spacing w:val="-4"/>
          <w:sz w:val="28"/>
          <w:szCs w:val="28"/>
        </w:rPr>
        <w:t>全域旅游改造升级任务</w:t>
      </w:r>
      <w:r>
        <w:rPr>
          <w:rStyle w:val="17"/>
          <w:rFonts w:hint="eastAsia" w:ascii="仿宋_GB2312" w:hAnsi="宋体" w:eastAsia="仿宋_GB2312"/>
          <w:b w:val="0"/>
          <w:bCs w:val="0"/>
          <w:spacing w:val="-4"/>
          <w:sz w:val="28"/>
          <w:szCs w:val="28"/>
        </w:rPr>
        <w:t>进一步推进，七是</w:t>
      </w:r>
      <w:r>
        <w:rPr>
          <w:rStyle w:val="17"/>
          <w:rFonts w:hint="eastAsia" w:ascii="仿宋_GB2312" w:hAnsi="宋体" w:eastAsia="仿宋_GB2312"/>
          <w:b w:val="0"/>
          <w:spacing w:val="-4"/>
          <w:sz w:val="28"/>
          <w:szCs w:val="28"/>
        </w:rPr>
        <w:t>工作业务</w:t>
      </w:r>
      <w:r>
        <w:rPr>
          <w:rStyle w:val="17"/>
          <w:rFonts w:hint="eastAsia" w:ascii="仿宋_GB2312" w:hAnsi="宋体" w:eastAsia="仿宋_GB2312"/>
          <w:b w:val="0"/>
          <w:bCs w:val="0"/>
          <w:spacing w:val="-4"/>
          <w:sz w:val="28"/>
          <w:szCs w:val="28"/>
        </w:rPr>
        <w:t>水平进一步增强，详细情况如下：</w:t>
      </w:r>
    </w:p>
    <w:p>
      <w:pPr>
        <w:snapToGrid w:val="0"/>
        <w:spacing w:line="360" w:lineRule="auto"/>
        <w:ind w:firstLine="544" w:firstLineChars="200"/>
        <w:rPr>
          <w:rStyle w:val="17"/>
          <w:rFonts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特克斯县文化体育广播电视和旅游局部门单位整体绩效目标共设置一级指标3个，二级指标6个，三级指标15个，详细说明如下</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1</w:t>
      </w:r>
      <w:r>
        <w:rPr>
          <w:rStyle w:val="17"/>
          <w:rFonts w:hint="eastAsia" w:ascii="仿宋_GB2312" w:hAnsi="宋体" w:eastAsia="仿宋_GB2312"/>
          <w:b w:val="0"/>
          <w:spacing w:val="-4"/>
          <w:sz w:val="28"/>
          <w:szCs w:val="28"/>
        </w:rPr>
        <w:t>、数量指标：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指标1：保障人员 ，指标值：=62人 ，实际完成值：62人 ，指标完成率100%；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：退休人员，指标值：=54人，实际完成值：54人，指标完成率100%；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指标3：日常办公用车保障数量，指标值：≥2辆，实际完成值：2辆，指标完成率100%；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指标4：保障人均公用经费人数，指标值：≥60人，实际完成值：60人，指标完成率100%；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指标5：供暖面积数，指标值：≥2000平方米，实际完成值：2000平方米，指标完成率100%；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、质量指标：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指标1：工资及公用经费保障率 ，指标值： =100% ，实际完成值：100%，指标完成率100%；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：供暖达标率，指标值：=100%，实际完成值：100%，指标完成率100%；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3</w:t>
      </w:r>
      <w:r>
        <w:rPr>
          <w:rStyle w:val="17"/>
          <w:rFonts w:hint="eastAsia" w:ascii="仿宋_GB2312" w:hAnsi="宋体" w:eastAsia="仿宋_GB2312"/>
          <w:b w:val="0"/>
          <w:spacing w:val="-4"/>
          <w:sz w:val="28"/>
          <w:szCs w:val="28"/>
        </w:rPr>
        <w:t>、时效指标：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指标1：发放资金及时性，指标值：≥98%，实际完成值：98%，指标完成率100%；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4</w:t>
      </w:r>
      <w:r>
        <w:rPr>
          <w:rStyle w:val="17"/>
          <w:rFonts w:hint="eastAsia" w:ascii="仿宋_GB2312" w:hAnsi="宋体" w:eastAsia="仿宋_GB2312"/>
          <w:b w:val="0"/>
          <w:spacing w:val="-4"/>
          <w:sz w:val="28"/>
          <w:szCs w:val="28"/>
        </w:rPr>
        <w:t>、成本指标：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指标1：保障人员人均支出标准，指标值：≦5.6万元，实际完成值：5.6万元，指标完成率100%；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：人均运转经费，指标值：≦0.3万元，实际完成值：0.3万元，指标完成率100%；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指标3：取暖费，指标值：≦3.78万元，实际完成值：3.78万元，指标完成率100%；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5、社会效益指标：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指标1：提高基本公共文化服务水平，指标值：有效提高，实际完成值：有效提高，指标完成率100%；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：推动全域旅游向纵深发展，指标值：有效推动，实际完成值：有效推动，指标完成率100%；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6、满意度指标：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指标1：职工满意度，指标值：≥98%，实际完成值：98%，指标完成率100%；</w:t>
      </w:r>
    </w:p>
    <w:p>
      <w:pPr>
        <w:snapToGrid w:val="0"/>
        <w:spacing w:line="360" w:lineRule="auto"/>
        <w:ind w:firstLine="544" w:firstLineChars="200"/>
        <w:rPr>
          <w:rStyle w:val="17"/>
          <w:rFonts w:ascii="仿宋_GB2312" w:hAnsi="宋体" w:eastAsia="仿宋_GB2312"/>
          <w:b w:val="0"/>
          <w:bCs w:val="0"/>
          <w:color w:val="FF000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：居民满意度，指标值：≥97%，实际完成值：97%，指标完成率100%</w:t>
      </w:r>
      <w:r>
        <w:rPr>
          <w:rStyle w:val="17"/>
          <w:rFonts w:hint="eastAsia" w:asciiTheme="minorEastAsia" w:hAnsiTheme="minorEastAsia"/>
          <w:bCs w:val="0"/>
          <w:spacing w:val="-4"/>
          <w:sz w:val="28"/>
          <w:szCs w:val="28"/>
        </w:rPr>
        <w:t>。</w:t>
      </w:r>
    </w:p>
    <w:p>
      <w:pPr>
        <w:pStyle w:val="4"/>
        <w:numPr>
          <w:ilvl w:val="0"/>
          <w:numId w:val="2"/>
        </w:numPr>
        <w:spacing w:line="360" w:lineRule="auto"/>
        <w:rPr>
          <w:rFonts w:ascii="仿宋" w:hAnsi="仿宋" w:eastAsia="仿宋"/>
          <w:sz w:val="36"/>
          <w:szCs w:val="36"/>
        </w:rPr>
      </w:pPr>
      <w:bookmarkStart w:id="46" w:name="_Toc19619"/>
      <w:bookmarkStart w:id="47" w:name="_Toc70450317"/>
      <w:r>
        <w:rPr>
          <w:rFonts w:hint="eastAsia" w:ascii="仿宋" w:hAnsi="仿宋" w:eastAsia="仿宋"/>
          <w:sz w:val="36"/>
          <w:szCs w:val="36"/>
        </w:rPr>
        <w:t>存在的主要问题</w:t>
      </w:r>
      <w:bookmarkEnd w:id="46"/>
      <w:bookmarkEnd w:id="47"/>
    </w:p>
    <w:p>
      <w:pPr>
        <w:pStyle w:val="13"/>
        <w:widowControl/>
        <w:spacing w:before="40" w:beforeAutospacing="0" w:after="0" w:afterAutospacing="0" w:line="520" w:lineRule="atLeast"/>
        <w:ind w:firstLine="544" w:firstLineChars="200"/>
        <w:jc w:val="both"/>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(一)预算执行存在偏差</w:t>
      </w:r>
    </w:p>
    <w:p>
      <w:pPr>
        <w:pStyle w:val="13"/>
        <w:widowControl/>
        <w:spacing w:before="40" w:beforeAutospacing="0" w:after="0" w:afterAutospacing="0" w:line="520" w:lineRule="atLeast"/>
        <w:ind w:firstLine="520"/>
        <w:jc w:val="both"/>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32"/>
        <w:numPr>
          <w:ilvl w:val="0"/>
          <w:numId w:val="3"/>
        </w:numPr>
        <w:spacing w:line="560" w:lineRule="exact"/>
        <w:ind w:firstLine="530" w:firstLineChars="195"/>
        <w:rPr>
          <w:rStyle w:val="17"/>
          <w:rFonts w:ascii="仿宋_GB2312" w:hAnsi="宋体" w:eastAsia="仿宋_GB2312"/>
          <w:b w:val="0"/>
          <w:spacing w:val="-4"/>
          <w:sz w:val="28"/>
        </w:rPr>
      </w:pPr>
      <w:r>
        <w:rPr>
          <w:rStyle w:val="17"/>
          <w:rFonts w:hint="eastAsia" w:ascii="仿宋_GB2312" w:hAnsi="宋体" w:eastAsia="仿宋_GB2312"/>
          <w:b w:val="0"/>
          <w:spacing w:val="-4"/>
          <w:sz w:val="28"/>
        </w:rPr>
        <w:t>项目细化管理工作不足。</w:t>
      </w:r>
    </w:p>
    <w:p>
      <w:pPr>
        <w:pStyle w:val="32"/>
        <w:spacing w:line="560" w:lineRule="exact"/>
        <w:ind w:firstLine="544" w:firstLineChars="200"/>
        <w:rPr>
          <w:rStyle w:val="17"/>
          <w:rFonts w:ascii="仿宋_GB2312" w:hAnsi="宋体" w:eastAsia="仿宋_GB2312"/>
          <w:b w:val="0"/>
          <w:spacing w:val="-4"/>
          <w:sz w:val="28"/>
        </w:rPr>
      </w:pPr>
      <w:r>
        <w:rPr>
          <w:rStyle w:val="17"/>
          <w:rFonts w:hint="eastAsia" w:ascii="仿宋_GB2312" w:hAnsi="宋体" w:eastAsia="仿宋_GB2312"/>
          <w:b w:val="0"/>
          <w:spacing w:val="-4"/>
          <w:sz w:val="28"/>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3"/>
        <w:widowControl/>
        <w:spacing w:before="40" w:beforeAutospacing="0" w:after="0" w:afterAutospacing="0" w:line="520" w:lineRule="atLeast"/>
        <w:ind w:firstLine="272" w:firstLineChars="100"/>
        <w:jc w:val="both"/>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（四）固定资产管理水平有待提高</w:t>
      </w:r>
    </w:p>
    <w:p>
      <w:pPr>
        <w:pStyle w:val="13"/>
        <w:widowControl/>
        <w:spacing w:before="40" w:beforeAutospacing="0" w:after="0" w:afterAutospacing="0" w:line="520" w:lineRule="atLeast"/>
        <w:ind w:firstLine="520"/>
        <w:jc w:val="both"/>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固定资产台账未及时与账面资产金额对账且末与实物进行清点及及时清理处置报废资产导致资产台账与账面资产金额存在差异,固定资产管理继续加强中。</w:t>
      </w:r>
    </w:p>
    <w:p>
      <w:pPr>
        <w:pStyle w:val="4"/>
        <w:spacing w:line="360" w:lineRule="auto"/>
        <w:rPr>
          <w:rFonts w:ascii="仿宋" w:hAnsi="仿宋" w:eastAsia="仿宋"/>
          <w:sz w:val="36"/>
          <w:szCs w:val="36"/>
        </w:rPr>
      </w:pPr>
      <w:bookmarkStart w:id="48" w:name="_Toc70450318"/>
      <w:bookmarkStart w:id="49" w:name="_Toc19570"/>
      <w:r>
        <w:rPr>
          <w:rFonts w:hint="eastAsia" w:ascii="仿宋" w:hAnsi="仿宋" w:eastAsia="仿宋"/>
          <w:sz w:val="36"/>
          <w:szCs w:val="36"/>
        </w:rPr>
        <w:t>七、改进措施和建议</w:t>
      </w:r>
      <w:bookmarkEnd w:id="48"/>
      <w:bookmarkEnd w:id="49"/>
    </w:p>
    <w:p>
      <w:pPr>
        <w:pStyle w:val="2"/>
        <w:spacing w:line="360" w:lineRule="auto"/>
        <w:rPr>
          <w:rStyle w:val="17"/>
          <w:rFonts w:ascii="仿宋" w:hAnsi="仿宋" w:eastAsia="仿宋"/>
          <w:b/>
          <w:bCs/>
        </w:rPr>
      </w:pPr>
      <w:bookmarkStart w:id="50" w:name="_Toc1970"/>
      <w:bookmarkStart w:id="51" w:name="_Toc70450319"/>
      <w:r>
        <w:rPr>
          <w:rStyle w:val="17"/>
          <w:rFonts w:hint="eastAsia" w:ascii="仿宋" w:hAnsi="仿宋" w:eastAsia="仿宋"/>
          <w:b/>
          <w:bCs/>
        </w:rPr>
        <w:t>（一）改进措施</w:t>
      </w:r>
      <w:bookmarkEnd w:id="50"/>
      <w:bookmarkEnd w:id="51"/>
    </w:p>
    <w:p>
      <w:pPr>
        <w:pStyle w:val="13"/>
        <w:widowControl/>
        <w:spacing w:before="40" w:beforeAutospacing="0" w:after="0" w:afterAutospacing="0" w:line="520" w:lineRule="atLeast"/>
        <w:ind w:firstLine="520"/>
        <w:jc w:val="both"/>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3"/>
        <w:widowControl/>
        <w:spacing w:before="40" w:beforeAutospacing="0" w:after="0" w:afterAutospacing="0" w:line="520" w:lineRule="atLeast"/>
        <w:ind w:firstLine="520"/>
        <w:jc w:val="both"/>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(二)完善管理制度,进-步加强资产管理。严格按照《固定资产管理办法》的规定，加强固定资产管理,及时登记、更新台账，加强资产卡片管理,对各类实物资产进行全面盘点,确保账账、账实相符。</w:t>
      </w:r>
    </w:p>
    <w:p>
      <w:pPr>
        <w:pStyle w:val="13"/>
        <w:widowControl/>
        <w:spacing w:before="40" w:beforeAutospacing="0" w:after="0" w:afterAutospacing="0" w:line="520" w:lineRule="atLeast"/>
        <w:ind w:firstLine="520"/>
        <w:jc w:val="both"/>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（三）加强学习。进一步明确如何参照考核体系，科学合理设定绩效目标，充分发挥预算绩效管理工作效用。</w:t>
      </w:r>
    </w:p>
    <w:p>
      <w:pPr>
        <w:pStyle w:val="13"/>
        <w:widowControl/>
        <w:spacing w:before="40" w:beforeAutospacing="0" w:after="0" w:afterAutospacing="0" w:line="520" w:lineRule="atLeast"/>
        <w:ind w:firstLine="520"/>
        <w:jc w:val="both"/>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（四）财务上，会计核算要更加详细，为本单位各项工作的开展、总结、评估提供有效数据资料支撑,为各项业务工作更好的开展提供帮助。</w:t>
      </w:r>
    </w:p>
    <w:p>
      <w:pPr>
        <w:pStyle w:val="13"/>
        <w:widowControl/>
        <w:spacing w:before="40" w:beforeAutospacing="0" w:after="0" w:afterAutospacing="0" w:line="520" w:lineRule="atLeast"/>
        <w:ind w:firstLine="520"/>
        <w:jc w:val="both"/>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（五）从源头上强化对专项资金预算管理。实行专项资金预算管理，结合单位实际, 按轻重缓急统筹安排编制预算,提高预算编制科学性和合理性,优化资金结构。</w:t>
      </w:r>
    </w:p>
    <w:p>
      <w:pPr>
        <w:pStyle w:val="13"/>
        <w:widowControl/>
        <w:spacing w:before="40" w:beforeAutospacing="0" w:after="0" w:afterAutospacing="0" w:line="520" w:lineRule="atLeast"/>
        <w:ind w:firstLine="520"/>
        <w:jc w:val="both"/>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（六）按时间进度分解资金使用计划。专项资金的使用，要事前做计划，事中进行控制，事后总结提高。合理安排资金使用,充分体现资金投向的目标和效益。</w:t>
      </w:r>
    </w:p>
    <w:p>
      <w:pPr>
        <w:pStyle w:val="2"/>
        <w:spacing w:line="360" w:lineRule="auto"/>
        <w:rPr>
          <w:rStyle w:val="17"/>
          <w:rFonts w:ascii="仿宋" w:hAnsi="仿宋" w:eastAsia="仿宋"/>
          <w:b/>
          <w:bCs/>
        </w:rPr>
      </w:pPr>
      <w:bookmarkStart w:id="52" w:name="_Toc15324"/>
      <w:bookmarkStart w:id="53" w:name="_Toc70450320"/>
      <w:r>
        <w:rPr>
          <w:rStyle w:val="17"/>
          <w:rFonts w:hint="eastAsia" w:ascii="仿宋" w:hAnsi="仿宋" w:eastAsia="仿宋"/>
          <w:b/>
          <w:bCs/>
        </w:rPr>
        <w:t>（二）建议</w:t>
      </w:r>
      <w:bookmarkEnd w:id="52"/>
      <w:bookmarkEnd w:id="53"/>
    </w:p>
    <w:p>
      <w:pPr>
        <w:pStyle w:val="13"/>
        <w:widowControl/>
        <w:spacing w:before="40" w:beforeAutospacing="0" w:after="0" w:afterAutospacing="0" w:line="520" w:lineRule="atLeast"/>
        <w:ind w:firstLine="520"/>
        <w:jc w:val="both"/>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pPr>
    </w:p>
    <w:p>
      <w:pPr>
        <w:pStyle w:val="4"/>
        <w:spacing w:line="360" w:lineRule="auto"/>
        <w:rPr>
          <w:rStyle w:val="17"/>
          <w:rFonts w:ascii="仿宋" w:hAnsi="仿宋" w:eastAsia="仿宋"/>
          <w:b/>
          <w:bCs/>
          <w:sz w:val="36"/>
          <w:szCs w:val="36"/>
        </w:rPr>
      </w:pPr>
      <w:bookmarkStart w:id="54" w:name="_Toc27601"/>
      <w:bookmarkStart w:id="55" w:name="_Toc70450321"/>
      <w:r>
        <w:rPr>
          <w:rStyle w:val="17"/>
          <w:rFonts w:hint="eastAsia" w:ascii="仿宋" w:hAnsi="仿宋" w:eastAsia="仿宋"/>
          <w:b/>
          <w:bCs/>
          <w:sz w:val="36"/>
          <w:szCs w:val="36"/>
        </w:rPr>
        <w:t>八、附表</w:t>
      </w:r>
      <w:r>
        <w:rPr>
          <w:rStyle w:val="17"/>
          <w:rFonts w:hint="eastAsia" w:ascii="仿宋" w:hAnsi="仿宋" w:eastAsia="仿宋"/>
          <w:b w:val="0"/>
          <w:bCs w:val="0"/>
          <w:spacing w:val="-4"/>
          <w:sz w:val="36"/>
          <w:szCs w:val="36"/>
        </w:rPr>
        <w:t>：</w:t>
      </w:r>
      <w:bookmarkStart w:id="56" w:name="_Hlk70450148"/>
      <w:r>
        <w:rPr>
          <w:rStyle w:val="17"/>
          <w:rFonts w:hint="eastAsia" w:ascii="仿宋" w:hAnsi="仿宋" w:eastAsia="仿宋"/>
          <w:b/>
          <w:bCs/>
          <w:sz w:val="36"/>
          <w:szCs w:val="36"/>
        </w:rPr>
        <w:t>《部门整体支出绩效目标自评表》</w:t>
      </w:r>
      <w:bookmarkEnd w:id="54"/>
      <w:bookmarkEnd w:id="55"/>
      <w:bookmarkEnd w:id="56"/>
    </w:p>
    <w:p/>
    <w:tbl>
      <w:tblPr>
        <w:tblStyle w:val="15"/>
        <w:tblW w:w="8940" w:type="dxa"/>
        <w:tblInd w:w="93" w:type="dxa"/>
        <w:tblLayout w:type="fixed"/>
        <w:tblCellMar>
          <w:top w:w="0" w:type="dxa"/>
          <w:left w:w="108" w:type="dxa"/>
          <w:bottom w:w="0" w:type="dxa"/>
          <w:right w:w="108" w:type="dxa"/>
        </w:tblCellMar>
      </w:tblPr>
      <w:tblGrid>
        <w:gridCol w:w="457"/>
        <w:gridCol w:w="457"/>
        <w:gridCol w:w="1552"/>
        <w:gridCol w:w="634"/>
        <w:gridCol w:w="538"/>
        <w:gridCol w:w="460"/>
        <w:gridCol w:w="236"/>
        <w:gridCol w:w="936"/>
        <w:gridCol w:w="235"/>
        <w:gridCol w:w="1531"/>
        <w:gridCol w:w="1668"/>
        <w:gridCol w:w="236"/>
      </w:tblGrid>
      <w:tr>
        <w:tblPrEx>
          <w:tblCellMar>
            <w:top w:w="0" w:type="dxa"/>
            <w:left w:w="108" w:type="dxa"/>
            <w:bottom w:w="0" w:type="dxa"/>
            <w:right w:w="108" w:type="dxa"/>
          </w:tblCellMar>
        </w:tblPrEx>
        <w:trPr>
          <w:gridAfter w:val="1"/>
          <w:wAfter w:w="236" w:type="dxa"/>
          <w:trHeight w:val="405" w:hRule="atLeast"/>
        </w:trPr>
        <w:tc>
          <w:tcPr>
            <w:tcW w:w="8704" w:type="dxa"/>
            <w:gridSpan w:val="11"/>
            <w:tcBorders>
              <w:top w:val="nil"/>
              <w:left w:val="nil"/>
              <w:bottom w:val="nil"/>
              <w:right w:val="nil"/>
            </w:tcBorders>
            <w:shd w:val="clear" w:color="auto" w:fill="auto"/>
            <w:vAlign w:val="center"/>
          </w:tcPr>
          <w:p>
            <w:pPr>
              <w:widowControl/>
              <w:jc w:val="center"/>
              <w:textAlignment w:val="center"/>
              <w:rPr>
                <w:rFonts w:ascii="方正小标宋_GBK" w:hAnsi="宋体" w:eastAsia="方正小标宋_GBK" w:cs="宋体"/>
                <w:kern w:val="0"/>
                <w:sz w:val="44"/>
                <w:szCs w:val="44"/>
              </w:rPr>
            </w:pPr>
            <w:r>
              <w:rPr>
                <w:rFonts w:hint="eastAsia" w:ascii="宋体" w:hAnsi="宋体" w:eastAsia="宋体" w:cs="宋体"/>
                <w:b/>
                <w:bCs/>
                <w:color w:val="000000"/>
                <w:kern w:val="0"/>
                <w:sz w:val="32"/>
                <w:szCs w:val="32"/>
              </w:rPr>
              <w:t>部门整体支出绩效目标自评表</w:t>
            </w:r>
          </w:p>
        </w:tc>
      </w:tr>
      <w:tr>
        <w:tblPrEx>
          <w:tblCellMar>
            <w:top w:w="0" w:type="dxa"/>
            <w:left w:w="108" w:type="dxa"/>
            <w:bottom w:w="0" w:type="dxa"/>
            <w:right w:w="108" w:type="dxa"/>
          </w:tblCellMar>
        </w:tblPrEx>
        <w:trPr>
          <w:gridAfter w:val="1"/>
          <w:wAfter w:w="236" w:type="dxa"/>
          <w:trHeight w:val="285" w:hRule="atLeast"/>
        </w:trPr>
        <w:tc>
          <w:tcPr>
            <w:tcW w:w="8704" w:type="dxa"/>
            <w:gridSpan w:val="11"/>
            <w:tcBorders>
              <w:top w:val="nil"/>
              <w:left w:val="nil"/>
              <w:bottom w:val="nil"/>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32"/>
                <w:szCs w:val="32"/>
              </w:rPr>
              <w:t>(2021年)</w:t>
            </w:r>
          </w:p>
        </w:tc>
      </w:tr>
      <w:tr>
        <w:tblPrEx>
          <w:tblCellMar>
            <w:top w:w="0" w:type="dxa"/>
            <w:left w:w="108" w:type="dxa"/>
            <w:bottom w:w="0" w:type="dxa"/>
            <w:right w:w="108" w:type="dxa"/>
          </w:tblCellMar>
        </w:tblPrEx>
        <w:trPr>
          <w:gridAfter w:val="1"/>
          <w:wAfter w:w="236" w:type="dxa"/>
          <w:trHeight w:val="285" w:hRule="atLeast"/>
        </w:trPr>
        <w:tc>
          <w:tcPr>
            <w:tcW w:w="914" w:type="dxa"/>
            <w:gridSpan w:val="2"/>
            <w:tcBorders>
              <w:top w:val="nil"/>
              <w:left w:val="nil"/>
              <w:bottom w:val="nil"/>
              <w:right w:val="nil"/>
            </w:tcBorders>
            <w:shd w:val="clear" w:color="auto" w:fill="auto"/>
            <w:noWrap/>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部门（单位）名称</w:t>
            </w:r>
          </w:p>
        </w:tc>
        <w:tc>
          <w:tcPr>
            <w:tcW w:w="7790" w:type="dxa"/>
            <w:gridSpan w:val="9"/>
            <w:tcBorders>
              <w:top w:val="nil"/>
              <w:left w:val="nil"/>
              <w:bottom w:val="nil"/>
              <w:right w:val="nil"/>
            </w:tcBorders>
            <w:shd w:val="clear" w:color="auto" w:fill="auto"/>
            <w:noWrap/>
            <w:vAlign w:val="center"/>
          </w:tcPr>
          <w:p>
            <w:pPr>
              <w:jc w:val="center"/>
              <w:rPr>
                <w:rFonts w:ascii="宋体" w:hAnsi="宋体" w:eastAsia="宋体" w:cs="宋体"/>
                <w:color w:val="000000"/>
                <w:kern w:val="0"/>
                <w:sz w:val="22"/>
                <w:szCs w:val="22"/>
              </w:rPr>
            </w:pPr>
          </w:p>
        </w:tc>
      </w:tr>
      <w:tr>
        <w:tblPrEx>
          <w:tblCellMar>
            <w:top w:w="0" w:type="dxa"/>
            <w:left w:w="108" w:type="dxa"/>
            <w:bottom w:w="0" w:type="dxa"/>
            <w:right w:w="108" w:type="dxa"/>
          </w:tblCellMar>
        </w:tblPrEx>
        <w:trPr>
          <w:gridAfter w:val="1"/>
          <w:wAfter w:w="236" w:type="dxa"/>
          <w:trHeight w:val="285" w:hRule="atLeast"/>
        </w:trPr>
        <w:tc>
          <w:tcPr>
            <w:tcW w:w="457"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年度主要任务</w:t>
            </w:r>
          </w:p>
        </w:tc>
        <w:tc>
          <w:tcPr>
            <w:tcW w:w="457" w:type="dxa"/>
            <w:vMerge w:val="restart"/>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任务名称</w:t>
            </w:r>
          </w:p>
        </w:tc>
        <w:tc>
          <w:tcPr>
            <w:tcW w:w="1552" w:type="dxa"/>
            <w:vMerge w:val="restart"/>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b/>
                <w:bCs/>
                <w:color w:val="000000"/>
                <w:kern w:val="0"/>
                <w:sz w:val="24"/>
              </w:rPr>
              <w:t>主要内容</w:t>
            </w:r>
          </w:p>
        </w:tc>
        <w:tc>
          <w:tcPr>
            <w:tcW w:w="163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b/>
                <w:bCs/>
                <w:color w:val="000000"/>
                <w:kern w:val="0"/>
                <w:sz w:val="24"/>
              </w:rPr>
              <w:t>预算金额（万元）</w:t>
            </w:r>
          </w:p>
        </w:tc>
        <w:tc>
          <w:tcPr>
            <w:tcW w:w="460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b/>
                <w:bCs/>
                <w:color w:val="000000"/>
                <w:kern w:val="0"/>
                <w:sz w:val="24"/>
              </w:rPr>
              <w:t>实际执行（万元）</w:t>
            </w:r>
          </w:p>
        </w:tc>
      </w:tr>
      <w:tr>
        <w:tblPrEx>
          <w:tblCellMar>
            <w:top w:w="0" w:type="dxa"/>
            <w:left w:w="108" w:type="dxa"/>
            <w:bottom w:w="0" w:type="dxa"/>
            <w:right w:w="108" w:type="dxa"/>
          </w:tblCellMar>
        </w:tblPrEx>
        <w:trPr>
          <w:trHeight w:val="285" w:hRule="atLeast"/>
        </w:trPr>
        <w:tc>
          <w:tcPr>
            <w:tcW w:w="457"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457"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55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63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总额</w:t>
            </w:r>
          </w:p>
        </w:tc>
        <w:tc>
          <w:tcPr>
            <w:tcW w:w="538"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b/>
                <w:bCs/>
                <w:color w:val="000000"/>
                <w:kern w:val="0"/>
                <w:sz w:val="24"/>
              </w:rPr>
              <w:t>财政拨款</w:t>
            </w:r>
          </w:p>
        </w:tc>
        <w:tc>
          <w:tcPr>
            <w:tcW w:w="696"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b/>
                <w:bCs/>
                <w:color w:val="000000"/>
                <w:kern w:val="0"/>
                <w:sz w:val="24"/>
              </w:rPr>
              <w:t>其他资金</w:t>
            </w:r>
          </w:p>
        </w:tc>
        <w:tc>
          <w:tcPr>
            <w:tcW w:w="936" w:type="dxa"/>
            <w:tcBorders>
              <w:top w:val="single" w:color="auto" w:sz="4" w:space="0"/>
              <w:left w:val="nil"/>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b/>
                <w:bCs/>
                <w:color w:val="000000"/>
                <w:kern w:val="0"/>
                <w:sz w:val="24"/>
              </w:rPr>
              <w:t>总额</w:t>
            </w:r>
          </w:p>
        </w:tc>
        <w:tc>
          <w:tcPr>
            <w:tcW w:w="1766"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b/>
                <w:bCs/>
                <w:color w:val="000000"/>
                <w:kern w:val="0"/>
                <w:sz w:val="24"/>
              </w:rPr>
              <w:t>财政拨款</w:t>
            </w:r>
          </w:p>
        </w:tc>
        <w:tc>
          <w:tcPr>
            <w:tcW w:w="1904"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b/>
                <w:bCs/>
                <w:color w:val="000000"/>
                <w:kern w:val="0"/>
                <w:sz w:val="24"/>
              </w:rPr>
              <w:t>其他资金</w:t>
            </w:r>
          </w:p>
        </w:tc>
      </w:tr>
      <w:tr>
        <w:tblPrEx>
          <w:tblCellMar>
            <w:top w:w="0" w:type="dxa"/>
            <w:left w:w="108" w:type="dxa"/>
            <w:bottom w:w="0" w:type="dxa"/>
            <w:right w:w="108" w:type="dxa"/>
          </w:tblCellMar>
        </w:tblPrEx>
        <w:trPr>
          <w:trHeight w:val="3264"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tcBorders>
              <w:top w:val="single" w:color="auto" w:sz="4" w:space="0"/>
              <w:left w:val="single" w:color="auto" w:sz="4" w:space="0"/>
              <w:bottom w:val="single" w:color="000000"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人员保障</w:t>
            </w:r>
          </w:p>
        </w:tc>
        <w:tc>
          <w:tcPr>
            <w:tcW w:w="155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kern w:val="0"/>
                <w:sz w:val="24"/>
              </w:rPr>
            </w:pPr>
            <w:r>
              <w:rPr>
                <w:rFonts w:hint="eastAsia" w:ascii="宋体" w:hAnsi="宋体" w:eastAsia="宋体" w:cs="宋体"/>
                <w:color w:val="000000"/>
                <w:kern w:val="0"/>
                <w:sz w:val="20"/>
                <w:szCs w:val="20"/>
              </w:rPr>
              <w:t>用于保障部门单位人员发放工资福利支出及对个人和家庭补助</w:t>
            </w:r>
          </w:p>
        </w:tc>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 xml:space="preserve">656.71 </w:t>
            </w:r>
          </w:p>
        </w:tc>
        <w:tc>
          <w:tcPr>
            <w:tcW w:w="53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 xml:space="preserve">656.71 </w:t>
            </w:r>
          </w:p>
        </w:tc>
        <w:tc>
          <w:tcPr>
            <w:tcW w:w="696"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 xml:space="preserve">0.00 </w:t>
            </w:r>
          </w:p>
        </w:tc>
        <w:tc>
          <w:tcPr>
            <w:tcW w:w="93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 xml:space="preserve">656.71 </w:t>
            </w:r>
          </w:p>
        </w:tc>
        <w:tc>
          <w:tcPr>
            <w:tcW w:w="1766"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color w:val="000000"/>
                <w:kern w:val="0"/>
                <w:sz w:val="20"/>
                <w:szCs w:val="20"/>
              </w:rPr>
              <w:t xml:space="preserve">656.71 </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0"/>
                <w:szCs w:val="20"/>
              </w:rPr>
              <w:t xml:space="preserve">0.00 </w:t>
            </w:r>
          </w:p>
        </w:tc>
      </w:tr>
      <w:tr>
        <w:tblPrEx>
          <w:tblCellMar>
            <w:top w:w="0" w:type="dxa"/>
            <w:left w:w="108" w:type="dxa"/>
            <w:bottom w:w="0" w:type="dxa"/>
            <w:right w:w="108" w:type="dxa"/>
          </w:tblCellMar>
        </w:tblPrEx>
        <w:trPr>
          <w:trHeight w:val="3852"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运转保障</w:t>
            </w:r>
          </w:p>
        </w:tc>
        <w:tc>
          <w:tcPr>
            <w:tcW w:w="15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color w:val="000000"/>
                <w:kern w:val="0"/>
                <w:sz w:val="20"/>
                <w:szCs w:val="20"/>
              </w:rPr>
              <w:t>用于日常办公费、取暖费、三公经费、工会经费、福利费及其它商品和服务支出</w:t>
            </w:r>
          </w:p>
        </w:tc>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 xml:space="preserve">20.50 </w:t>
            </w:r>
          </w:p>
        </w:tc>
        <w:tc>
          <w:tcPr>
            <w:tcW w:w="53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 xml:space="preserve">20.50 </w:t>
            </w:r>
          </w:p>
        </w:tc>
        <w:tc>
          <w:tcPr>
            <w:tcW w:w="696"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 xml:space="preserve">0.00 </w:t>
            </w:r>
          </w:p>
        </w:tc>
        <w:tc>
          <w:tcPr>
            <w:tcW w:w="93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 xml:space="preserve">20.50 </w:t>
            </w:r>
          </w:p>
        </w:tc>
        <w:tc>
          <w:tcPr>
            <w:tcW w:w="1766"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color w:val="000000"/>
                <w:kern w:val="0"/>
                <w:sz w:val="20"/>
                <w:szCs w:val="20"/>
              </w:rPr>
              <w:t xml:space="preserve">20.50 </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0"/>
                <w:szCs w:val="20"/>
              </w:rPr>
              <w:t xml:space="preserve">0.00 </w:t>
            </w:r>
          </w:p>
        </w:tc>
      </w:tr>
      <w:tr>
        <w:tblPrEx>
          <w:tblCellMar>
            <w:top w:w="0" w:type="dxa"/>
            <w:left w:w="108" w:type="dxa"/>
            <w:bottom w:w="0" w:type="dxa"/>
            <w:right w:w="108" w:type="dxa"/>
          </w:tblCellMar>
        </w:tblPrEx>
        <w:trPr>
          <w:trHeight w:val="285"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0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金额合计</w:t>
            </w:r>
          </w:p>
        </w:tc>
        <w:tc>
          <w:tcPr>
            <w:tcW w:w="63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 xml:space="preserve">677.21 </w:t>
            </w:r>
          </w:p>
        </w:tc>
        <w:tc>
          <w:tcPr>
            <w:tcW w:w="53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 xml:space="preserve">677.21 </w:t>
            </w:r>
          </w:p>
        </w:tc>
        <w:tc>
          <w:tcPr>
            <w:tcW w:w="696"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 xml:space="preserve">0.00 </w:t>
            </w:r>
          </w:p>
        </w:tc>
        <w:tc>
          <w:tcPr>
            <w:tcW w:w="936"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 xml:space="preserve">677.21 </w:t>
            </w:r>
          </w:p>
        </w:tc>
        <w:tc>
          <w:tcPr>
            <w:tcW w:w="1766"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b/>
                <w:bCs/>
                <w:color w:val="000000"/>
                <w:kern w:val="0"/>
                <w:sz w:val="24"/>
              </w:rPr>
              <w:t xml:space="preserve">677.21 </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 xml:space="preserve">0.00 </w:t>
            </w:r>
          </w:p>
        </w:tc>
      </w:tr>
      <w:tr>
        <w:tblPrEx>
          <w:tblCellMar>
            <w:top w:w="0" w:type="dxa"/>
            <w:left w:w="108" w:type="dxa"/>
            <w:bottom w:w="0" w:type="dxa"/>
            <w:right w:w="108" w:type="dxa"/>
          </w:tblCellMar>
        </w:tblPrEx>
        <w:trPr>
          <w:gridAfter w:val="1"/>
          <w:wAfter w:w="236" w:type="dxa"/>
          <w:trHeight w:val="285" w:hRule="atLeast"/>
        </w:trPr>
        <w:tc>
          <w:tcPr>
            <w:tcW w:w="457" w:type="dxa"/>
            <w:vMerge w:val="restart"/>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年度总体目标</w:t>
            </w:r>
          </w:p>
        </w:tc>
        <w:tc>
          <w:tcPr>
            <w:tcW w:w="20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预期目标</w:t>
            </w:r>
          </w:p>
        </w:tc>
        <w:tc>
          <w:tcPr>
            <w:tcW w:w="6238" w:type="dxa"/>
            <w:gridSpan w:val="8"/>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实际完成目标</w:t>
            </w:r>
          </w:p>
        </w:tc>
      </w:tr>
      <w:tr>
        <w:tblPrEx>
          <w:tblCellMar>
            <w:top w:w="0" w:type="dxa"/>
            <w:left w:w="108" w:type="dxa"/>
            <w:bottom w:w="0" w:type="dxa"/>
            <w:right w:w="108" w:type="dxa"/>
          </w:tblCellMar>
        </w:tblPrEx>
        <w:trPr>
          <w:gridAfter w:val="1"/>
          <w:wAfter w:w="236" w:type="dxa"/>
          <w:trHeight w:val="285"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0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目标1：围绕社会稳定和长治久安总目标，确保各部门工作顺利开展，保障部门工作正常高效运转，提高工作人员能力，提高资金使用效益； 目标2：以文塑旅、以旅彰文，深入推动文化和旅游融合，坚持创新驱动、坚持统筹协调，加大资源整合力度，展示好“世界喀拉峻·中国八卦城”名片，推动全域旅游向纵深发展，真正把旅游业打造成特克斯县战略支柱产业，奋力推进新时代特克斯文化体育广电旅游工作高质量发展； 目标3：力争年内接待游客690万人次，实现旅游综合性收入51亿元，同比增长15%、30%。</w:t>
            </w:r>
          </w:p>
        </w:tc>
        <w:tc>
          <w:tcPr>
            <w:tcW w:w="6238" w:type="dxa"/>
            <w:gridSpan w:val="8"/>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目标1：围绕社会稳定和长治久安总目标，确保各部门工作顺利开展，保障部门工作正常高效运转，提高工作人员能力，提高资金使用效益；目标2：以文塑旅、以旅彰文，深入推动文化和旅游融合，坚持创新驱动、坚持统筹协调，加大资源整合力度，展示好“世界喀拉峻·中国八卦城”名片，推动全域旅游向纵深发展，真正把旅游业打造成特克斯县战略支柱产业，奋力推进新时代特克斯文化体育广电旅游工作高质量发展； 目标3：力争年内接待游客690万人次，实现旅游综合性收入51亿元，同比增长15%、30%。</w:t>
            </w:r>
          </w:p>
        </w:tc>
      </w:tr>
      <w:tr>
        <w:tblPrEx>
          <w:tblCellMar>
            <w:top w:w="0" w:type="dxa"/>
            <w:left w:w="108" w:type="dxa"/>
            <w:bottom w:w="0" w:type="dxa"/>
            <w:right w:w="108" w:type="dxa"/>
          </w:tblCellMar>
        </w:tblPrEx>
        <w:trPr>
          <w:gridAfter w:val="1"/>
          <w:wAfter w:w="236" w:type="dxa"/>
          <w:trHeight w:val="285" w:hRule="atLeast"/>
        </w:trPr>
        <w:tc>
          <w:tcPr>
            <w:tcW w:w="457" w:type="dxa"/>
            <w:vMerge w:val="restart"/>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年度绩效指标</w:t>
            </w:r>
          </w:p>
        </w:tc>
        <w:tc>
          <w:tcPr>
            <w:tcW w:w="457" w:type="dxa"/>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一级指标</w:t>
            </w:r>
          </w:p>
        </w:tc>
        <w:tc>
          <w:tcPr>
            <w:tcW w:w="1552" w:type="dxa"/>
            <w:tcBorders>
              <w:top w:val="nil"/>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二级指标</w:t>
            </w:r>
          </w:p>
        </w:tc>
        <w:tc>
          <w:tcPr>
            <w:tcW w:w="1632" w:type="dxa"/>
            <w:gridSpan w:val="3"/>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三级指标</w:t>
            </w:r>
          </w:p>
        </w:tc>
        <w:tc>
          <w:tcPr>
            <w:tcW w:w="1407" w:type="dxa"/>
            <w:gridSpan w:val="3"/>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预期指标值（包含数字及文字描述）</w:t>
            </w:r>
          </w:p>
        </w:tc>
        <w:tc>
          <w:tcPr>
            <w:tcW w:w="3199"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实际完成指标值（包含数字及文字描述）</w:t>
            </w:r>
          </w:p>
        </w:tc>
      </w:tr>
      <w:tr>
        <w:tblPrEx>
          <w:tblCellMar>
            <w:top w:w="0" w:type="dxa"/>
            <w:left w:w="108" w:type="dxa"/>
            <w:bottom w:w="0" w:type="dxa"/>
            <w:right w:w="108" w:type="dxa"/>
          </w:tblCellMar>
        </w:tblPrEx>
        <w:trPr>
          <w:gridAfter w:val="1"/>
          <w:wAfter w:w="236" w:type="dxa"/>
          <w:trHeight w:val="285"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vMerge w:val="restart"/>
            <w:tcBorders>
              <w:top w:val="single" w:color="auto" w:sz="4" w:space="0"/>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产出指标</w:t>
            </w:r>
          </w:p>
        </w:tc>
        <w:tc>
          <w:tcPr>
            <w:tcW w:w="1552" w:type="dxa"/>
            <w:vMerge w:val="restart"/>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数量指标</w:t>
            </w:r>
          </w:p>
        </w:tc>
        <w:tc>
          <w:tcPr>
            <w:tcW w:w="1632" w:type="dxa"/>
            <w:gridSpan w:val="3"/>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保障人员</w:t>
            </w:r>
          </w:p>
        </w:tc>
        <w:tc>
          <w:tcPr>
            <w:tcW w:w="1407" w:type="dxa"/>
            <w:gridSpan w:val="3"/>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=62人</w:t>
            </w:r>
          </w:p>
        </w:tc>
        <w:tc>
          <w:tcPr>
            <w:tcW w:w="3199" w:type="dxa"/>
            <w:gridSpan w:val="2"/>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rPr>
              <w:t>62人</w:t>
            </w:r>
          </w:p>
        </w:tc>
      </w:tr>
      <w:tr>
        <w:tblPrEx>
          <w:tblCellMar>
            <w:top w:w="0" w:type="dxa"/>
            <w:left w:w="108" w:type="dxa"/>
            <w:bottom w:w="0" w:type="dxa"/>
            <w:right w:w="108" w:type="dxa"/>
          </w:tblCellMar>
        </w:tblPrEx>
        <w:trPr>
          <w:gridAfter w:val="1"/>
          <w:wAfter w:w="236" w:type="dxa"/>
          <w:trHeight w:val="285" w:hRule="atLeast"/>
        </w:trPr>
        <w:tc>
          <w:tcPr>
            <w:tcW w:w="457"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457"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kern w:val="0"/>
                <w:sz w:val="24"/>
              </w:rPr>
            </w:pPr>
          </w:p>
        </w:tc>
        <w:tc>
          <w:tcPr>
            <w:tcW w:w="1552" w:type="dxa"/>
            <w:vMerge w:val="continue"/>
            <w:tcBorders>
              <w:top w:val="single" w:color="auto" w:sz="4" w:space="0"/>
              <w:left w:val="nil"/>
              <w:bottom w:val="single" w:color="auto" w:sz="4" w:space="0"/>
              <w:right w:val="nil"/>
            </w:tcBorders>
            <w:shd w:val="clear" w:color="auto" w:fill="auto"/>
            <w:vAlign w:val="center"/>
          </w:tcPr>
          <w:p>
            <w:pPr>
              <w:jc w:val="center"/>
            </w:pPr>
          </w:p>
        </w:tc>
        <w:tc>
          <w:tcPr>
            <w:tcW w:w="163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退休人员</w:t>
            </w:r>
          </w:p>
        </w:tc>
        <w:tc>
          <w:tcPr>
            <w:tcW w:w="140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pPr>
            <w:r>
              <w:rPr>
                <w:rFonts w:hint="eastAsia" w:ascii="宋体" w:hAnsi="宋体" w:eastAsia="宋体" w:cs="宋体"/>
                <w:color w:val="000000"/>
                <w:kern w:val="0"/>
                <w:sz w:val="20"/>
                <w:szCs w:val="20"/>
              </w:rPr>
              <w:t>=54人</w:t>
            </w:r>
          </w:p>
        </w:tc>
        <w:tc>
          <w:tcPr>
            <w:tcW w:w="319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pPr>
            <w:r>
              <w:rPr>
                <w:rFonts w:hint="eastAsia" w:ascii="宋体" w:hAnsi="宋体" w:eastAsia="宋体" w:cs="宋体"/>
                <w:color w:val="000000"/>
                <w:kern w:val="0"/>
                <w:sz w:val="20"/>
                <w:szCs w:val="20"/>
              </w:rPr>
              <w:t>54人</w:t>
            </w:r>
          </w:p>
        </w:tc>
      </w:tr>
      <w:tr>
        <w:tblPrEx>
          <w:tblCellMar>
            <w:top w:w="0" w:type="dxa"/>
            <w:left w:w="108" w:type="dxa"/>
            <w:bottom w:w="0" w:type="dxa"/>
            <w:right w:w="108" w:type="dxa"/>
          </w:tblCellMar>
        </w:tblPrEx>
        <w:trPr>
          <w:gridAfter w:val="1"/>
          <w:wAfter w:w="236" w:type="dxa"/>
          <w:trHeight w:val="2070" w:hRule="atLeast"/>
        </w:trPr>
        <w:tc>
          <w:tcPr>
            <w:tcW w:w="457"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457"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52" w:type="dxa"/>
            <w:vMerge w:val="continue"/>
            <w:tcBorders>
              <w:top w:val="single" w:color="auto" w:sz="4" w:space="0"/>
              <w:left w:val="nil"/>
              <w:bottom w:val="single" w:color="auto" w:sz="4" w:space="0"/>
              <w:right w:val="single" w:color="auto" w:sz="4" w:space="0"/>
            </w:tcBorders>
            <w:shd w:val="clear" w:color="auto" w:fill="auto"/>
            <w:vAlign w:val="center"/>
          </w:tcPr>
          <w:p>
            <w:pPr>
              <w:jc w:val="center"/>
            </w:pPr>
          </w:p>
        </w:tc>
        <w:tc>
          <w:tcPr>
            <w:tcW w:w="163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日常办公用车保障数量</w:t>
            </w:r>
          </w:p>
        </w:tc>
        <w:tc>
          <w:tcPr>
            <w:tcW w:w="140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pPr>
            <w:r>
              <w:rPr>
                <w:rFonts w:hint="eastAsia" w:ascii="宋体" w:hAnsi="宋体" w:eastAsia="宋体" w:cs="宋体"/>
                <w:color w:val="000000"/>
                <w:kern w:val="0"/>
                <w:sz w:val="20"/>
                <w:szCs w:val="20"/>
              </w:rPr>
              <w:t>≥2辆</w:t>
            </w:r>
          </w:p>
        </w:tc>
        <w:tc>
          <w:tcPr>
            <w:tcW w:w="31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pPr>
            <w:r>
              <w:rPr>
                <w:rFonts w:hint="eastAsia" w:ascii="宋体" w:hAnsi="宋体" w:eastAsia="宋体" w:cs="宋体"/>
                <w:color w:val="000000"/>
                <w:kern w:val="0"/>
                <w:sz w:val="20"/>
                <w:szCs w:val="20"/>
              </w:rPr>
              <w:t>2辆</w:t>
            </w:r>
          </w:p>
        </w:tc>
      </w:tr>
      <w:tr>
        <w:tblPrEx>
          <w:tblCellMar>
            <w:top w:w="0" w:type="dxa"/>
            <w:left w:w="108" w:type="dxa"/>
            <w:bottom w:w="0" w:type="dxa"/>
            <w:right w:w="108" w:type="dxa"/>
          </w:tblCellMar>
        </w:tblPrEx>
        <w:trPr>
          <w:gridAfter w:val="1"/>
          <w:wAfter w:w="236" w:type="dxa"/>
          <w:trHeight w:val="885" w:hRule="atLeast"/>
        </w:trPr>
        <w:tc>
          <w:tcPr>
            <w:tcW w:w="457"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457" w:type="dxa"/>
            <w:vMerge w:val="continue"/>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52"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kern w:val="0"/>
                <w:sz w:val="24"/>
              </w:rPr>
            </w:pPr>
          </w:p>
        </w:tc>
        <w:tc>
          <w:tcPr>
            <w:tcW w:w="163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保障人均公用经费人数</w:t>
            </w:r>
          </w:p>
        </w:tc>
        <w:tc>
          <w:tcPr>
            <w:tcW w:w="140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0"/>
                <w:szCs w:val="20"/>
              </w:rPr>
              <w:t>≥60人</w:t>
            </w:r>
          </w:p>
        </w:tc>
        <w:tc>
          <w:tcPr>
            <w:tcW w:w="31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rPr>
              <w:t>60人</w:t>
            </w:r>
          </w:p>
        </w:tc>
      </w:tr>
      <w:tr>
        <w:tblPrEx>
          <w:tblCellMar>
            <w:top w:w="0" w:type="dxa"/>
            <w:left w:w="108" w:type="dxa"/>
            <w:bottom w:w="0" w:type="dxa"/>
            <w:right w:w="108" w:type="dxa"/>
          </w:tblCellMar>
        </w:tblPrEx>
        <w:trPr>
          <w:gridAfter w:val="1"/>
          <w:wAfter w:w="236" w:type="dxa"/>
          <w:trHeight w:val="285"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52"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632" w:type="dxa"/>
            <w:gridSpan w:val="3"/>
            <w:tcBorders>
              <w:top w:val="single" w:color="auto" w:sz="4" w:space="0"/>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供暖面积数</w:t>
            </w:r>
          </w:p>
        </w:tc>
        <w:tc>
          <w:tcPr>
            <w:tcW w:w="140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≥2000平方米</w:t>
            </w:r>
          </w:p>
        </w:tc>
        <w:tc>
          <w:tcPr>
            <w:tcW w:w="3199"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rPr>
              <w:t>2000平方米</w:t>
            </w:r>
          </w:p>
        </w:tc>
      </w:tr>
      <w:tr>
        <w:tblPrEx>
          <w:tblCellMar>
            <w:top w:w="0" w:type="dxa"/>
            <w:left w:w="108" w:type="dxa"/>
            <w:bottom w:w="0" w:type="dxa"/>
            <w:right w:w="108" w:type="dxa"/>
          </w:tblCellMar>
        </w:tblPrEx>
        <w:trPr>
          <w:gridAfter w:val="1"/>
          <w:wAfter w:w="236" w:type="dxa"/>
          <w:trHeight w:val="285"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52"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质量指标</w:t>
            </w:r>
          </w:p>
        </w:tc>
        <w:tc>
          <w:tcPr>
            <w:tcW w:w="1632" w:type="dxa"/>
            <w:gridSpan w:val="3"/>
            <w:tcBorders>
              <w:top w:val="single" w:color="auto" w:sz="4" w:space="0"/>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工资及公用经费保障率</w:t>
            </w:r>
          </w:p>
        </w:tc>
        <w:tc>
          <w:tcPr>
            <w:tcW w:w="140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=100%</w:t>
            </w:r>
          </w:p>
        </w:tc>
        <w:tc>
          <w:tcPr>
            <w:tcW w:w="3199"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rPr>
              <w:t>100%</w:t>
            </w:r>
          </w:p>
        </w:tc>
      </w:tr>
      <w:tr>
        <w:tblPrEx>
          <w:tblCellMar>
            <w:top w:w="0" w:type="dxa"/>
            <w:left w:w="108" w:type="dxa"/>
            <w:bottom w:w="0" w:type="dxa"/>
            <w:right w:w="108" w:type="dxa"/>
          </w:tblCellMar>
        </w:tblPrEx>
        <w:trPr>
          <w:gridAfter w:val="1"/>
          <w:wAfter w:w="236" w:type="dxa"/>
          <w:trHeight w:val="530"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52"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1632" w:type="dxa"/>
            <w:gridSpan w:val="3"/>
            <w:tcBorders>
              <w:top w:val="single" w:color="auto" w:sz="4" w:space="0"/>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供暖达标率</w:t>
            </w:r>
          </w:p>
        </w:tc>
        <w:tc>
          <w:tcPr>
            <w:tcW w:w="140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=100%</w:t>
            </w:r>
          </w:p>
        </w:tc>
        <w:tc>
          <w:tcPr>
            <w:tcW w:w="3199"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rPr>
              <w:t>100%</w:t>
            </w:r>
          </w:p>
        </w:tc>
      </w:tr>
      <w:tr>
        <w:tblPrEx>
          <w:tblCellMar>
            <w:top w:w="0" w:type="dxa"/>
            <w:left w:w="108" w:type="dxa"/>
            <w:bottom w:w="0" w:type="dxa"/>
            <w:right w:w="108" w:type="dxa"/>
          </w:tblCellMar>
        </w:tblPrEx>
        <w:trPr>
          <w:gridAfter w:val="1"/>
          <w:wAfter w:w="236" w:type="dxa"/>
          <w:trHeight w:val="530"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52" w:type="dxa"/>
            <w:tcBorders>
              <w:top w:val="single" w:color="auto"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时效指标</w:t>
            </w:r>
          </w:p>
        </w:tc>
        <w:tc>
          <w:tcPr>
            <w:tcW w:w="1632" w:type="dxa"/>
            <w:gridSpan w:val="3"/>
            <w:tcBorders>
              <w:top w:val="single" w:color="auto" w:sz="4" w:space="0"/>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发放资金及时性</w:t>
            </w:r>
          </w:p>
        </w:tc>
        <w:tc>
          <w:tcPr>
            <w:tcW w:w="140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≥98%</w:t>
            </w:r>
          </w:p>
        </w:tc>
        <w:tc>
          <w:tcPr>
            <w:tcW w:w="3199"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rPr>
              <w:t>98%</w:t>
            </w:r>
          </w:p>
        </w:tc>
      </w:tr>
      <w:tr>
        <w:tblPrEx>
          <w:tblCellMar>
            <w:top w:w="0" w:type="dxa"/>
            <w:left w:w="108" w:type="dxa"/>
            <w:bottom w:w="0" w:type="dxa"/>
            <w:right w:w="108" w:type="dxa"/>
          </w:tblCellMar>
        </w:tblPrEx>
        <w:trPr>
          <w:gridAfter w:val="1"/>
          <w:wAfter w:w="236" w:type="dxa"/>
          <w:trHeight w:val="530"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52"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成本指标</w:t>
            </w:r>
          </w:p>
        </w:tc>
        <w:tc>
          <w:tcPr>
            <w:tcW w:w="1632" w:type="dxa"/>
            <w:gridSpan w:val="3"/>
            <w:tcBorders>
              <w:top w:val="single" w:color="auto" w:sz="4" w:space="0"/>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保障人员人均支出标准</w:t>
            </w:r>
          </w:p>
        </w:tc>
        <w:tc>
          <w:tcPr>
            <w:tcW w:w="140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≦5.6万元</w:t>
            </w:r>
          </w:p>
        </w:tc>
        <w:tc>
          <w:tcPr>
            <w:tcW w:w="3199"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rPr>
              <w:t>5.6万元</w:t>
            </w:r>
          </w:p>
        </w:tc>
      </w:tr>
      <w:tr>
        <w:tblPrEx>
          <w:tblCellMar>
            <w:top w:w="0" w:type="dxa"/>
            <w:left w:w="108" w:type="dxa"/>
            <w:bottom w:w="0" w:type="dxa"/>
            <w:right w:w="108" w:type="dxa"/>
          </w:tblCellMar>
        </w:tblPrEx>
        <w:trPr>
          <w:gridAfter w:val="1"/>
          <w:wAfter w:w="236" w:type="dxa"/>
          <w:trHeight w:val="285"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52"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632" w:type="dxa"/>
            <w:gridSpan w:val="3"/>
            <w:tcBorders>
              <w:top w:val="single" w:color="auto" w:sz="4" w:space="0"/>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人均运转经费</w:t>
            </w:r>
          </w:p>
        </w:tc>
        <w:tc>
          <w:tcPr>
            <w:tcW w:w="140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≦0.3万元</w:t>
            </w:r>
          </w:p>
        </w:tc>
        <w:tc>
          <w:tcPr>
            <w:tcW w:w="3199"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rPr>
              <w:t>0.3万元</w:t>
            </w:r>
          </w:p>
        </w:tc>
      </w:tr>
      <w:tr>
        <w:tblPrEx>
          <w:tblCellMar>
            <w:top w:w="0" w:type="dxa"/>
            <w:left w:w="108" w:type="dxa"/>
            <w:bottom w:w="0" w:type="dxa"/>
            <w:right w:w="108" w:type="dxa"/>
          </w:tblCellMar>
        </w:tblPrEx>
        <w:trPr>
          <w:gridAfter w:val="1"/>
          <w:wAfter w:w="236" w:type="dxa"/>
          <w:trHeight w:val="285"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52"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1632" w:type="dxa"/>
            <w:gridSpan w:val="3"/>
            <w:tcBorders>
              <w:top w:val="single" w:color="auto" w:sz="4" w:space="0"/>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取暖费</w:t>
            </w:r>
          </w:p>
        </w:tc>
        <w:tc>
          <w:tcPr>
            <w:tcW w:w="140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≦3.78万元</w:t>
            </w:r>
          </w:p>
        </w:tc>
        <w:tc>
          <w:tcPr>
            <w:tcW w:w="3199"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rPr>
              <w:t>3.78万元</w:t>
            </w:r>
          </w:p>
        </w:tc>
      </w:tr>
      <w:tr>
        <w:tblPrEx>
          <w:tblCellMar>
            <w:top w:w="0" w:type="dxa"/>
            <w:left w:w="108" w:type="dxa"/>
            <w:bottom w:w="0" w:type="dxa"/>
            <w:right w:w="108" w:type="dxa"/>
          </w:tblCellMar>
        </w:tblPrEx>
        <w:trPr>
          <w:gridAfter w:val="1"/>
          <w:wAfter w:w="236" w:type="dxa"/>
          <w:trHeight w:val="285"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vMerge w:val="restart"/>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52"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社会效益指标</w:t>
            </w:r>
          </w:p>
        </w:tc>
        <w:tc>
          <w:tcPr>
            <w:tcW w:w="1632" w:type="dxa"/>
            <w:gridSpan w:val="3"/>
            <w:tcBorders>
              <w:top w:val="single" w:color="auto" w:sz="4" w:space="0"/>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提高基本公共文化服务水平</w:t>
            </w:r>
          </w:p>
        </w:tc>
        <w:tc>
          <w:tcPr>
            <w:tcW w:w="1407" w:type="dxa"/>
            <w:gridSpan w:val="3"/>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有效提高</w:t>
            </w:r>
          </w:p>
        </w:tc>
        <w:tc>
          <w:tcPr>
            <w:tcW w:w="3199"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rPr>
              <w:t>有效提高</w:t>
            </w:r>
          </w:p>
        </w:tc>
      </w:tr>
      <w:tr>
        <w:tblPrEx>
          <w:tblCellMar>
            <w:top w:w="0" w:type="dxa"/>
            <w:left w:w="108" w:type="dxa"/>
            <w:bottom w:w="0" w:type="dxa"/>
            <w:right w:w="108" w:type="dxa"/>
          </w:tblCellMar>
        </w:tblPrEx>
        <w:trPr>
          <w:gridAfter w:val="1"/>
          <w:wAfter w:w="236" w:type="dxa"/>
          <w:trHeight w:val="285"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52"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632" w:type="dxa"/>
            <w:gridSpan w:val="3"/>
            <w:tcBorders>
              <w:top w:val="single" w:color="auto" w:sz="4" w:space="0"/>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推动全域旅游向纵深发展</w:t>
            </w:r>
          </w:p>
        </w:tc>
        <w:tc>
          <w:tcPr>
            <w:tcW w:w="140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有效推动</w:t>
            </w:r>
          </w:p>
        </w:tc>
        <w:tc>
          <w:tcPr>
            <w:tcW w:w="3199"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rPr>
              <w:t>有效推动</w:t>
            </w:r>
          </w:p>
        </w:tc>
      </w:tr>
      <w:tr>
        <w:tblPrEx>
          <w:tblCellMar>
            <w:top w:w="0" w:type="dxa"/>
            <w:left w:w="108" w:type="dxa"/>
            <w:bottom w:w="0" w:type="dxa"/>
            <w:right w:w="108" w:type="dxa"/>
          </w:tblCellMar>
        </w:tblPrEx>
        <w:trPr>
          <w:gridAfter w:val="1"/>
          <w:wAfter w:w="236" w:type="dxa"/>
          <w:trHeight w:val="285"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vMerge w:val="restart"/>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满意度指标</w:t>
            </w:r>
          </w:p>
        </w:tc>
        <w:tc>
          <w:tcPr>
            <w:tcW w:w="1552"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满意度指标</w:t>
            </w:r>
          </w:p>
        </w:tc>
        <w:tc>
          <w:tcPr>
            <w:tcW w:w="1632" w:type="dxa"/>
            <w:gridSpan w:val="3"/>
            <w:tcBorders>
              <w:top w:val="single" w:color="auto" w:sz="4" w:space="0"/>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职工满意度</w:t>
            </w:r>
          </w:p>
        </w:tc>
        <w:tc>
          <w:tcPr>
            <w:tcW w:w="140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≥98%</w:t>
            </w:r>
          </w:p>
        </w:tc>
        <w:tc>
          <w:tcPr>
            <w:tcW w:w="3199"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rPr>
              <w:t>98%</w:t>
            </w:r>
          </w:p>
        </w:tc>
      </w:tr>
      <w:tr>
        <w:tblPrEx>
          <w:tblCellMar>
            <w:top w:w="0" w:type="dxa"/>
            <w:left w:w="108" w:type="dxa"/>
            <w:bottom w:w="0" w:type="dxa"/>
            <w:right w:w="108" w:type="dxa"/>
          </w:tblCellMar>
        </w:tblPrEx>
        <w:trPr>
          <w:gridAfter w:val="1"/>
          <w:wAfter w:w="236" w:type="dxa"/>
          <w:trHeight w:val="285"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52"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1632" w:type="dxa"/>
            <w:gridSpan w:val="3"/>
            <w:tcBorders>
              <w:top w:val="single" w:color="auto" w:sz="4" w:space="0"/>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居民满意度</w:t>
            </w:r>
          </w:p>
        </w:tc>
        <w:tc>
          <w:tcPr>
            <w:tcW w:w="1407" w:type="dxa"/>
            <w:gridSpan w:val="3"/>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≥97%</w:t>
            </w:r>
          </w:p>
        </w:tc>
        <w:tc>
          <w:tcPr>
            <w:tcW w:w="3199"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rPr>
              <w:t>97%</w:t>
            </w:r>
          </w:p>
        </w:tc>
      </w:tr>
    </w:tbl>
    <w:p>
      <w:pPr>
        <w:rPr>
          <w:rFonts w:ascii="仿宋" w:hAnsi="仿宋" w:eastAsia="仿宋" w:cs="宋体"/>
          <w:color w:val="333333"/>
          <w:sz w:val="32"/>
          <w:szCs w:val="32"/>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4 -</w:t>
        </w:r>
        <w:r>
          <w:rPr>
            <w:rFonts w:asciiTheme="minorEastAsia" w:hAnsiTheme="minorEastAsia"/>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abstractNum w:abstractNumId="1">
    <w:nsid w:val="2D5C84E8"/>
    <w:multiLevelType w:val="singleLevel"/>
    <w:tmpl w:val="2D5C84E8"/>
    <w:lvl w:ilvl="0" w:tentative="0">
      <w:start w:val="6"/>
      <w:numFmt w:val="chineseCounting"/>
      <w:suff w:val="nothing"/>
      <w:lvlText w:val="%1、"/>
      <w:lvlJc w:val="left"/>
      <w:rPr>
        <w:rFonts w:hint="eastAsia"/>
      </w:rPr>
    </w:lvl>
  </w:abstractNum>
  <w:abstractNum w:abstractNumId="2">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633862"/>
    <w:rsid w:val="00025A44"/>
    <w:rsid w:val="00072084"/>
    <w:rsid w:val="00093D33"/>
    <w:rsid w:val="0009422A"/>
    <w:rsid w:val="000A40F3"/>
    <w:rsid w:val="000B6B13"/>
    <w:rsid w:val="000D1DEE"/>
    <w:rsid w:val="000D3AFA"/>
    <w:rsid w:val="00105D60"/>
    <w:rsid w:val="001121F2"/>
    <w:rsid w:val="00112859"/>
    <w:rsid w:val="001173EB"/>
    <w:rsid w:val="00125F9B"/>
    <w:rsid w:val="00150C4C"/>
    <w:rsid w:val="00166009"/>
    <w:rsid w:val="00191BA3"/>
    <w:rsid w:val="001A2299"/>
    <w:rsid w:val="001A3A0E"/>
    <w:rsid w:val="001A5C17"/>
    <w:rsid w:val="001F630E"/>
    <w:rsid w:val="00223525"/>
    <w:rsid w:val="0022744B"/>
    <w:rsid w:val="00234372"/>
    <w:rsid w:val="00234B37"/>
    <w:rsid w:val="00246941"/>
    <w:rsid w:val="002764C7"/>
    <w:rsid w:val="002A5134"/>
    <w:rsid w:val="002D075E"/>
    <w:rsid w:val="00303809"/>
    <w:rsid w:val="00303A08"/>
    <w:rsid w:val="003105C2"/>
    <w:rsid w:val="003226C4"/>
    <w:rsid w:val="00322838"/>
    <w:rsid w:val="00334554"/>
    <w:rsid w:val="00354BD8"/>
    <w:rsid w:val="003E3DEF"/>
    <w:rsid w:val="003E7C70"/>
    <w:rsid w:val="003E7CD9"/>
    <w:rsid w:val="00402F72"/>
    <w:rsid w:val="00415094"/>
    <w:rsid w:val="00436798"/>
    <w:rsid w:val="0049337C"/>
    <w:rsid w:val="004C4C4D"/>
    <w:rsid w:val="004C6FF3"/>
    <w:rsid w:val="004D1475"/>
    <w:rsid w:val="004E69F5"/>
    <w:rsid w:val="004E7AAC"/>
    <w:rsid w:val="004F1B5F"/>
    <w:rsid w:val="00531A31"/>
    <w:rsid w:val="00533C6C"/>
    <w:rsid w:val="00552652"/>
    <w:rsid w:val="00593943"/>
    <w:rsid w:val="005A08A8"/>
    <w:rsid w:val="005B1250"/>
    <w:rsid w:val="005C33CE"/>
    <w:rsid w:val="006225D7"/>
    <w:rsid w:val="00633862"/>
    <w:rsid w:val="006379B7"/>
    <w:rsid w:val="006413B6"/>
    <w:rsid w:val="00653D31"/>
    <w:rsid w:val="006910A7"/>
    <w:rsid w:val="00691310"/>
    <w:rsid w:val="006A7181"/>
    <w:rsid w:val="006B6637"/>
    <w:rsid w:val="006C5BED"/>
    <w:rsid w:val="006D3947"/>
    <w:rsid w:val="00702D4A"/>
    <w:rsid w:val="007115C8"/>
    <w:rsid w:val="00713ADC"/>
    <w:rsid w:val="00725B9A"/>
    <w:rsid w:val="00754721"/>
    <w:rsid w:val="007713F8"/>
    <w:rsid w:val="007A2230"/>
    <w:rsid w:val="007A7491"/>
    <w:rsid w:val="007A7874"/>
    <w:rsid w:val="007E089E"/>
    <w:rsid w:val="00800784"/>
    <w:rsid w:val="00817432"/>
    <w:rsid w:val="008343BD"/>
    <w:rsid w:val="008614D8"/>
    <w:rsid w:val="00875327"/>
    <w:rsid w:val="00886879"/>
    <w:rsid w:val="00890FC2"/>
    <w:rsid w:val="008C68E2"/>
    <w:rsid w:val="008D1A65"/>
    <w:rsid w:val="008D744F"/>
    <w:rsid w:val="008E3F8A"/>
    <w:rsid w:val="00923468"/>
    <w:rsid w:val="00952782"/>
    <w:rsid w:val="0095580D"/>
    <w:rsid w:val="0097614B"/>
    <w:rsid w:val="00992D45"/>
    <w:rsid w:val="009A1625"/>
    <w:rsid w:val="009E5FF8"/>
    <w:rsid w:val="009F06F4"/>
    <w:rsid w:val="00A05135"/>
    <w:rsid w:val="00A32A1D"/>
    <w:rsid w:val="00A43D21"/>
    <w:rsid w:val="00A55238"/>
    <w:rsid w:val="00A84F45"/>
    <w:rsid w:val="00A97EBB"/>
    <w:rsid w:val="00AA5126"/>
    <w:rsid w:val="00AC4471"/>
    <w:rsid w:val="00AD16CD"/>
    <w:rsid w:val="00AF42EB"/>
    <w:rsid w:val="00B130FE"/>
    <w:rsid w:val="00B34A48"/>
    <w:rsid w:val="00B407C3"/>
    <w:rsid w:val="00B666A1"/>
    <w:rsid w:val="00BA1454"/>
    <w:rsid w:val="00C42609"/>
    <w:rsid w:val="00C4673D"/>
    <w:rsid w:val="00C76454"/>
    <w:rsid w:val="00C81F75"/>
    <w:rsid w:val="00C94283"/>
    <w:rsid w:val="00C94D56"/>
    <w:rsid w:val="00CB1C9D"/>
    <w:rsid w:val="00CC7606"/>
    <w:rsid w:val="00CD2F35"/>
    <w:rsid w:val="00CE16E7"/>
    <w:rsid w:val="00CE61DB"/>
    <w:rsid w:val="00CF79DA"/>
    <w:rsid w:val="00D26F3D"/>
    <w:rsid w:val="00D278CF"/>
    <w:rsid w:val="00D3486B"/>
    <w:rsid w:val="00D400C6"/>
    <w:rsid w:val="00D506CA"/>
    <w:rsid w:val="00D77626"/>
    <w:rsid w:val="00D81EE2"/>
    <w:rsid w:val="00DA67B8"/>
    <w:rsid w:val="00DB1085"/>
    <w:rsid w:val="00DD223C"/>
    <w:rsid w:val="00E213C7"/>
    <w:rsid w:val="00E41A31"/>
    <w:rsid w:val="00E549A3"/>
    <w:rsid w:val="00E7188B"/>
    <w:rsid w:val="00E96F4B"/>
    <w:rsid w:val="00F006BD"/>
    <w:rsid w:val="00F17550"/>
    <w:rsid w:val="00F27120"/>
    <w:rsid w:val="00F341E0"/>
    <w:rsid w:val="00F36401"/>
    <w:rsid w:val="00F42445"/>
    <w:rsid w:val="00F44FCC"/>
    <w:rsid w:val="00F74974"/>
    <w:rsid w:val="00F829DE"/>
    <w:rsid w:val="00F84215"/>
    <w:rsid w:val="00F91CBB"/>
    <w:rsid w:val="01D735E7"/>
    <w:rsid w:val="08C67322"/>
    <w:rsid w:val="0B2E1CE4"/>
    <w:rsid w:val="0B6B5E26"/>
    <w:rsid w:val="0DD76DDA"/>
    <w:rsid w:val="0E9A5E97"/>
    <w:rsid w:val="12247D50"/>
    <w:rsid w:val="129A32A8"/>
    <w:rsid w:val="17F72C6F"/>
    <w:rsid w:val="1CB64332"/>
    <w:rsid w:val="1EB60E4D"/>
    <w:rsid w:val="21843C8D"/>
    <w:rsid w:val="2DD42CD6"/>
    <w:rsid w:val="2E2B0670"/>
    <w:rsid w:val="36C03898"/>
    <w:rsid w:val="372221C6"/>
    <w:rsid w:val="3A3E24FF"/>
    <w:rsid w:val="3A407794"/>
    <w:rsid w:val="3E95718B"/>
    <w:rsid w:val="4B3D479A"/>
    <w:rsid w:val="4D656F4B"/>
    <w:rsid w:val="57E859E3"/>
    <w:rsid w:val="5A274C50"/>
    <w:rsid w:val="5FBB1726"/>
    <w:rsid w:val="62C61CFE"/>
    <w:rsid w:val="6432085E"/>
    <w:rsid w:val="691F7BD8"/>
    <w:rsid w:val="6F255DA6"/>
    <w:rsid w:val="7137040A"/>
    <w:rsid w:val="75EF6FD0"/>
    <w:rsid w:val="76353AEE"/>
    <w:rsid w:val="7D737402"/>
    <w:rsid w:val="7FEA6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Balloon Text"/>
    <w:basedOn w:val="1"/>
    <w:link w:val="30"/>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4"/>
    <w:qFormat/>
    <w:uiPriority w:val="11"/>
    <w:pPr>
      <w:spacing w:before="240" w:after="60" w:line="312" w:lineRule="auto"/>
      <w:jc w:val="center"/>
      <w:outlineLvl w:val="1"/>
    </w:pPr>
    <w:rPr>
      <w:b/>
      <w:bCs/>
      <w:kern w:val="28"/>
      <w:sz w:val="32"/>
      <w:szCs w:val="32"/>
    </w:rPr>
  </w:style>
  <w:style w:type="paragraph" w:styleId="12">
    <w:name w:val="toc 2"/>
    <w:basedOn w:val="1"/>
    <w:next w:val="1"/>
    <w:unhideWhenUsed/>
    <w:qFormat/>
    <w:uiPriority w:val="39"/>
    <w:pPr>
      <w:ind w:left="420" w:leftChars="200"/>
    </w:pPr>
  </w:style>
  <w:style w:type="paragraph" w:styleId="13">
    <w:name w:val="Normal (Web)"/>
    <w:basedOn w:val="1"/>
    <w:qFormat/>
    <w:uiPriority w:val="99"/>
    <w:pPr>
      <w:spacing w:before="100" w:beforeAutospacing="1" w:after="100" w:afterAutospacing="1"/>
      <w:jc w:val="left"/>
    </w:pPr>
    <w:rPr>
      <w:rFonts w:cs="Times New Roman"/>
      <w:sz w:val="24"/>
    </w:rPr>
  </w:style>
  <w:style w:type="paragraph" w:styleId="14">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rPr>
  </w:style>
  <w:style w:type="character" w:customStyle="1" w:styleId="19">
    <w:name w:val="页眉 Char"/>
    <w:basedOn w:val="16"/>
    <w:link w:val="9"/>
    <w:qFormat/>
    <w:uiPriority w:val="99"/>
    <w:rPr>
      <w:sz w:val="18"/>
      <w:szCs w:val="18"/>
    </w:rPr>
  </w:style>
  <w:style w:type="character" w:customStyle="1" w:styleId="20">
    <w:name w:val="页脚 Char"/>
    <w:basedOn w:val="16"/>
    <w:link w:val="8"/>
    <w:qFormat/>
    <w:uiPriority w:val="99"/>
    <w:rPr>
      <w:sz w:val="18"/>
      <w:szCs w:val="18"/>
    </w:rPr>
  </w:style>
  <w:style w:type="paragraph" w:styleId="21">
    <w:name w:val="List Paragraph"/>
    <w:basedOn w:val="1"/>
    <w:unhideWhenUsed/>
    <w:qFormat/>
    <w:uiPriority w:val="99"/>
    <w:pPr>
      <w:ind w:firstLine="420" w:firstLineChars="200"/>
    </w:pPr>
  </w:style>
  <w:style w:type="character" w:customStyle="1" w:styleId="22">
    <w:name w:val="标题 Char"/>
    <w:basedOn w:val="16"/>
    <w:link w:val="14"/>
    <w:qFormat/>
    <w:uiPriority w:val="10"/>
    <w:rPr>
      <w:rFonts w:asciiTheme="majorHAnsi" w:hAnsiTheme="majorHAnsi" w:eastAsiaTheme="majorEastAsia" w:cstheme="majorBidi"/>
      <w:b/>
      <w:bCs/>
      <w:sz w:val="32"/>
      <w:szCs w:val="32"/>
    </w:rPr>
  </w:style>
  <w:style w:type="character" w:customStyle="1" w:styleId="23">
    <w:name w:val="标题 2 Char"/>
    <w:basedOn w:val="16"/>
    <w:link w:val="4"/>
    <w:qFormat/>
    <w:uiPriority w:val="9"/>
    <w:rPr>
      <w:rFonts w:asciiTheme="majorHAnsi" w:hAnsiTheme="majorHAnsi" w:eastAsiaTheme="majorEastAsia" w:cstheme="majorBidi"/>
      <w:b/>
      <w:bCs/>
      <w:sz w:val="32"/>
      <w:szCs w:val="32"/>
    </w:rPr>
  </w:style>
  <w:style w:type="character" w:customStyle="1" w:styleId="24">
    <w:name w:val="副标题 Char"/>
    <w:basedOn w:val="16"/>
    <w:link w:val="11"/>
    <w:qFormat/>
    <w:uiPriority w:val="11"/>
    <w:rPr>
      <w:b/>
      <w:bCs/>
      <w:kern w:val="28"/>
      <w:sz w:val="32"/>
      <w:szCs w:val="32"/>
    </w:rPr>
  </w:style>
  <w:style w:type="character" w:customStyle="1" w:styleId="25">
    <w:name w:val="标题 3 Char"/>
    <w:basedOn w:val="16"/>
    <w:link w:val="2"/>
    <w:qFormat/>
    <w:uiPriority w:val="9"/>
    <w:rPr>
      <w:b/>
      <w:bCs/>
      <w:sz w:val="32"/>
      <w:szCs w:val="32"/>
    </w:rPr>
  </w:style>
  <w:style w:type="character" w:styleId="26">
    <w:name w:val="Placeholder Text"/>
    <w:basedOn w:val="16"/>
    <w:semiHidden/>
    <w:qFormat/>
    <w:uiPriority w:val="99"/>
    <w:rPr>
      <w:color w:val="808080"/>
    </w:rPr>
  </w:style>
  <w:style w:type="character" w:customStyle="1" w:styleId="27">
    <w:name w:val="标题 1 Char"/>
    <w:basedOn w:val="16"/>
    <w:link w:val="3"/>
    <w:qFormat/>
    <w:uiPriority w:val="9"/>
    <w:rPr>
      <w:b/>
      <w:bCs/>
      <w:kern w:val="44"/>
      <w:sz w:val="44"/>
      <w:szCs w:val="44"/>
    </w:rPr>
  </w:style>
  <w:style w:type="paragraph" w:customStyle="1" w:styleId="28">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29">
    <w:name w:val="标题 4 Char"/>
    <w:basedOn w:val="16"/>
    <w:link w:val="5"/>
    <w:qFormat/>
    <w:uiPriority w:val="9"/>
    <w:rPr>
      <w:rFonts w:asciiTheme="majorHAnsi" w:hAnsiTheme="majorHAnsi" w:eastAsiaTheme="majorEastAsia" w:cstheme="majorBidi"/>
      <w:b/>
      <w:bCs/>
      <w:sz w:val="28"/>
      <w:szCs w:val="28"/>
    </w:rPr>
  </w:style>
  <w:style w:type="character" w:customStyle="1" w:styleId="30">
    <w:name w:val="批注框文本 Char"/>
    <w:basedOn w:val="16"/>
    <w:link w:val="7"/>
    <w:semiHidden/>
    <w:qFormat/>
    <w:uiPriority w:val="99"/>
    <w:rPr>
      <w:rFonts w:asciiTheme="minorHAnsi" w:hAnsiTheme="minorHAnsi" w:eastAsiaTheme="minorEastAsia" w:cstheme="minorBidi"/>
      <w:kern w:val="2"/>
      <w:sz w:val="18"/>
      <w:szCs w:val="18"/>
    </w:rPr>
  </w:style>
  <w:style w:type="paragraph" w:customStyle="1" w:styleId="31">
    <w:name w:val="正文A"/>
    <w:basedOn w:val="1"/>
    <w:qFormat/>
    <w:uiPriority w:val="4"/>
    <w:pPr>
      <w:widowControl/>
      <w:spacing w:line="580" w:lineRule="exact"/>
      <w:ind w:firstLine="640"/>
      <w:jc w:val="left"/>
    </w:pPr>
    <w:rPr>
      <w:rFonts w:ascii="仿宋_GB2312" w:hAnsi="仿宋_GB2312" w:eastAsia="仿宋_GB2312" w:cs="宋体"/>
      <w:color w:val="000000"/>
      <w:kern w:val="0"/>
      <w:sz w:val="32"/>
      <w:szCs w:val="32"/>
    </w:rPr>
  </w:style>
  <w:style w:type="paragraph" w:customStyle="1" w:styleId="32">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6786E-166D-479A-8DFC-4B205A4028F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14754</Words>
  <Characters>15613</Characters>
  <Lines>114</Lines>
  <Paragraphs>32</Paragraphs>
  <TotalTime>4</TotalTime>
  <ScaleCrop>false</ScaleCrop>
  <LinksUpToDate>false</LinksUpToDate>
  <CharactersWithSpaces>15666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2022-04-28T09:31:00Z</dcterms:created>
  <dc:creator>jc</dc:creator>
  <cp:lastModifiedBy>123</cp:lastModifiedBy>
  <dcterms:modified xsi:type="dcterms:W3CDTF">2022-05-27T03:44:26Z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86FB7C50EB8E414CB94A7B1E54BD7C7E</vt:lpwstr>
  </property>
</Properties>
</file>